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3E48" w14:textId="05796951" w:rsidR="00036D68" w:rsidRPr="00A91071" w:rsidRDefault="00036D68" w:rsidP="00204AA5">
      <w:pPr>
        <w:jc w:val="center"/>
        <w:rPr>
          <w:rFonts w:ascii="Arial" w:hAnsi="Arial" w:cs="Arial"/>
          <w:b/>
          <w:sz w:val="32"/>
          <w:lang w:val="mk-MK"/>
        </w:rPr>
      </w:pPr>
      <w:bookmarkStart w:id="0" w:name="X20e3df1b0bb10fd165ed329c94a4283018972b3"/>
      <w:bookmarkStart w:id="1" w:name="communication-matrix-table"/>
      <w:bookmarkStart w:id="2" w:name="annex-2-communication-matrix-20252028"/>
      <w:r w:rsidRPr="00A91071">
        <w:rPr>
          <w:rFonts w:ascii="Arial" w:hAnsi="Arial" w:cs="Arial"/>
          <w:b/>
          <w:sz w:val="32"/>
          <w:lang w:val="mk-MK"/>
        </w:rPr>
        <w:t>АНЕКС 1 НАЦРТ</w:t>
      </w:r>
      <w:r w:rsidR="00A91071" w:rsidRPr="00A91071">
        <w:rPr>
          <w:rFonts w:ascii="Arial" w:hAnsi="Arial" w:cs="Arial"/>
          <w:b/>
          <w:sz w:val="32"/>
          <w:lang w:val="mk-MK"/>
        </w:rPr>
        <w:t>-</w:t>
      </w:r>
      <w:r w:rsidRPr="00A91071">
        <w:rPr>
          <w:rFonts w:ascii="Arial" w:hAnsi="Arial" w:cs="Arial"/>
          <w:b/>
          <w:sz w:val="32"/>
          <w:lang w:val="mk-MK"/>
        </w:rPr>
        <w:t>СТРАТЕ</w:t>
      </w:r>
      <w:r w:rsidR="00A91071" w:rsidRPr="00A91071">
        <w:rPr>
          <w:rFonts w:ascii="Arial" w:hAnsi="Arial" w:cs="Arial"/>
          <w:b/>
          <w:sz w:val="32"/>
          <w:lang w:val="mk-MK"/>
        </w:rPr>
        <w:t>ГИС</w:t>
      </w:r>
      <w:r w:rsidRPr="00A91071">
        <w:rPr>
          <w:rFonts w:ascii="Arial" w:hAnsi="Arial" w:cs="Arial"/>
          <w:b/>
          <w:sz w:val="32"/>
          <w:lang w:val="mk-MK"/>
        </w:rPr>
        <w:t xml:space="preserve">КИ </w:t>
      </w:r>
      <w:r w:rsidR="00664856">
        <w:rPr>
          <w:rFonts w:ascii="Arial" w:hAnsi="Arial" w:cs="Arial"/>
          <w:b/>
          <w:sz w:val="32"/>
          <w:lang w:val="mk-MK"/>
        </w:rPr>
        <w:t>ПЛАН ЗА КОМУНИКАЦИЈА</w:t>
      </w:r>
    </w:p>
    <w:p w14:paraId="0FB92A86" w14:textId="7682464C" w:rsidR="00036D68" w:rsidRPr="00A91071" w:rsidRDefault="00036D68" w:rsidP="00204AA5">
      <w:pPr>
        <w:pStyle w:val="Heading2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A91071">
        <w:rPr>
          <w:rFonts w:ascii="Arial" w:hAnsi="Arial" w:cs="Arial"/>
          <w:color w:val="auto"/>
          <w:sz w:val="22"/>
          <w:szCs w:val="22"/>
          <w:lang w:val="mk-MK"/>
        </w:rPr>
        <w:t>Цел на страте</w:t>
      </w:r>
      <w:r w:rsidR="00A91071" w:rsidRPr="00A91071">
        <w:rPr>
          <w:rFonts w:ascii="Arial" w:hAnsi="Arial" w:cs="Arial"/>
          <w:color w:val="auto"/>
          <w:sz w:val="22"/>
          <w:szCs w:val="22"/>
          <w:lang w:val="mk-MK"/>
        </w:rPr>
        <w:t xml:space="preserve">гискиот </w:t>
      </w:r>
      <w:r w:rsidR="00664856">
        <w:rPr>
          <w:rFonts w:ascii="Arial" w:hAnsi="Arial" w:cs="Arial"/>
          <w:color w:val="auto"/>
          <w:sz w:val="22"/>
          <w:szCs w:val="22"/>
          <w:lang w:val="mk-MK"/>
        </w:rPr>
        <w:t>план за комуникација</w:t>
      </w:r>
    </w:p>
    <w:p w14:paraId="4DA10C67" w14:textId="036F2462" w:rsidR="00036D68" w:rsidRPr="00A91071" w:rsidRDefault="00036D68" w:rsidP="00204AA5">
      <w:pPr>
        <w:pStyle w:val="FirstParagraph"/>
        <w:jc w:val="both"/>
        <w:rPr>
          <w:rFonts w:ascii="Arial" w:hAnsi="Arial" w:cs="Arial"/>
          <w:sz w:val="22"/>
          <w:szCs w:val="22"/>
          <w:lang w:val="mk-MK"/>
        </w:rPr>
      </w:pPr>
      <w:r w:rsidRPr="00A91071">
        <w:rPr>
          <w:rFonts w:ascii="Arial" w:hAnsi="Arial" w:cs="Arial"/>
          <w:sz w:val="22"/>
          <w:szCs w:val="22"/>
          <w:lang w:val="mk-MK"/>
        </w:rPr>
        <w:t>Овој документ дава структуриран преглед на приоритетните целни групи, цели</w:t>
      </w:r>
      <w:r w:rsidR="00A91071">
        <w:rPr>
          <w:rFonts w:ascii="Arial" w:hAnsi="Arial" w:cs="Arial"/>
          <w:sz w:val="22"/>
          <w:szCs w:val="22"/>
          <w:lang w:val="mk-MK"/>
        </w:rPr>
        <w:t>те</w:t>
      </w:r>
      <w:r w:rsidRPr="00A91071">
        <w:rPr>
          <w:rFonts w:ascii="Arial" w:hAnsi="Arial" w:cs="Arial"/>
          <w:sz w:val="22"/>
          <w:szCs w:val="22"/>
          <w:lang w:val="mk-MK"/>
        </w:rPr>
        <w:t>, канали</w:t>
      </w:r>
      <w:r w:rsidR="00A91071">
        <w:rPr>
          <w:rFonts w:ascii="Arial" w:hAnsi="Arial" w:cs="Arial"/>
          <w:sz w:val="22"/>
          <w:szCs w:val="22"/>
          <w:lang w:val="mk-MK"/>
        </w:rPr>
        <w:t>те</w:t>
      </w:r>
      <w:r w:rsidRPr="00A91071">
        <w:rPr>
          <w:rFonts w:ascii="Arial" w:hAnsi="Arial" w:cs="Arial"/>
          <w:sz w:val="22"/>
          <w:szCs w:val="22"/>
          <w:lang w:val="mk-MK"/>
        </w:rPr>
        <w:t xml:space="preserve">, </w:t>
      </w:r>
      <w:r w:rsidR="00A91071">
        <w:rPr>
          <w:rFonts w:ascii="Arial" w:hAnsi="Arial" w:cs="Arial"/>
          <w:sz w:val="22"/>
          <w:szCs w:val="22"/>
          <w:lang w:val="mk-MK"/>
        </w:rPr>
        <w:t>динамиката</w:t>
      </w:r>
      <w:r w:rsidRPr="00A91071">
        <w:rPr>
          <w:rFonts w:ascii="Arial" w:hAnsi="Arial" w:cs="Arial"/>
          <w:sz w:val="22"/>
          <w:szCs w:val="22"/>
          <w:lang w:val="mk-MK"/>
        </w:rPr>
        <w:t>, одговорности</w:t>
      </w:r>
      <w:r w:rsidR="00A91071">
        <w:rPr>
          <w:rFonts w:ascii="Arial" w:hAnsi="Arial" w:cs="Arial"/>
          <w:sz w:val="22"/>
          <w:szCs w:val="22"/>
          <w:lang w:val="mk-MK"/>
        </w:rPr>
        <w:t>те</w:t>
      </w:r>
      <w:r w:rsidRPr="00A91071">
        <w:rPr>
          <w:rFonts w:ascii="Arial" w:hAnsi="Arial" w:cs="Arial"/>
          <w:sz w:val="22"/>
          <w:szCs w:val="22"/>
          <w:lang w:val="mk-MK"/>
        </w:rPr>
        <w:t xml:space="preserve"> и </w:t>
      </w:r>
      <w:r w:rsidR="00A91071">
        <w:rPr>
          <w:rFonts w:ascii="Arial" w:hAnsi="Arial" w:cs="Arial"/>
          <w:sz w:val="22"/>
          <w:szCs w:val="22"/>
          <w:lang w:val="mk-MK"/>
        </w:rPr>
        <w:t>показателите</w:t>
      </w:r>
      <w:r w:rsidRPr="00A91071">
        <w:rPr>
          <w:rFonts w:ascii="Arial" w:hAnsi="Arial" w:cs="Arial"/>
          <w:sz w:val="22"/>
          <w:szCs w:val="22"/>
          <w:lang w:val="mk-MK"/>
        </w:rPr>
        <w:t xml:space="preserve"> за </w:t>
      </w:r>
      <w:r w:rsidR="00A91071">
        <w:rPr>
          <w:rFonts w:ascii="Arial" w:hAnsi="Arial" w:cs="Arial"/>
          <w:sz w:val="22"/>
          <w:szCs w:val="22"/>
          <w:lang w:val="mk-MK"/>
        </w:rPr>
        <w:t>успехот на</w:t>
      </w:r>
      <w:r w:rsidRPr="00A91071">
        <w:rPr>
          <w:rFonts w:ascii="Arial" w:hAnsi="Arial" w:cs="Arial"/>
          <w:sz w:val="22"/>
          <w:szCs w:val="22"/>
          <w:lang w:val="mk-MK"/>
        </w:rPr>
        <w:t xml:space="preserve"> комуникаци</w:t>
      </w:r>
      <w:r w:rsidR="00A91071">
        <w:rPr>
          <w:rFonts w:ascii="Arial" w:hAnsi="Arial" w:cs="Arial"/>
          <w:sz w:val="22"/>
          <w:szCs w:val="22"/>
          <w:lang w:val="mk-MK"/>
        </w:rPr>
        <w:t>ите</w:t>
      </w:r>
      <w:r w:rsidRPr="00A91071">
        <w:rPr>
          <w:rFonts w:ascii="Arial" w:hAnsi="Arial" w:cs="Arial"/>
          <w:sz w:val="22"/>
          <w:szCs w:val="22"/>
          <w:lang w:val="mk-MK"/>
        </w:rPr>
        <w:t xml:space="preserve"> на Советот (2026–2028). </w:t>
      </w:r>
      <w:r w:rsidR="00A91071">
        <w:rPr>
          <w:rFonts w:ascii="Arial" w:hAnsi="Arial" w:cs="Arial"/>
          <w:sz w:val="22"/>
          <w:szCs w:val="22"/>
          <w:lang w:val="mk-MK"/>
        </w:rPr>
        <w:t>Тој с</w:t>
      </w:r>
      <w:r w:rsidRPr="00A91071">
        <w:rPr>
          <w:rFonts w:ascii="Arial" w:hAnsi="Arial" w:cs="Arial"/>
          <w:sz w:val="22"/>
          <w:szCs w:val="22"/>
          <w:lang w:val="mk-MK"/>
        </w:rPr>
        <w:t xml:space="preserve">лужи како жива алатка што треба да се ажурира годишно заедно со Годишниот </w:t>
      </w:r>
      <w:r w:rsidR="00664856">
        <w:rPr>
          <w:rFonts w:ascii="Arial" w:hAnsi="Arial" w:cs="Arial"/>
          <w:sz w:val="22"/>
          <w:szCs w:val="22"/>
          <w:lang w:val="mk-MK"/>
        </w:rPr>
        <w:t>план за комуникација</w:t>
      </w:r>
      <w:r w:rsidRPr="00A91071">
        <w:rPr>
          <w:rFonts w:ascii="Arial" w:hAnsi="Arial" w:cs="Arial"/>
          <w:sz w:val="22"/>
          <w:szCs w:val="22"/>
          <w:lang w:val="mk-MK"/>
        </w:rPr>
        <w:t>.</w:t>
      </w:r>
    </w:p>
    <w:p w14:paraId="3665AE53" w14:textId="203B8F90" w:rsidR="00036D68" w:rsidRPr="00A91071" w:rsidRDefault="00036D68" w:rsidP="00036D68">
      <w:pPr>
        <w:pStyle w:val="BodyText"/>
        <w:jc w:val="both"/>
        <w:rPr>
          <w:rFonts w:ascii="Arial" w:hAnsi="Arial" w:cs="Arial"/>
          <w:lang w:val="mk-MK"/>
        </w:rPr>
      </w:pPr>
      <w:r w:rsidRPr="00A91071">
        <w:rPr>
          <w:rFonts w:ascii="Arial" w:hAnsi="Arial" w:cs="Arial"/>
          <w:lang w:val="mk-MK"/>
        </w:rPr>
        <w:t>Страте</w:t>
      </w:r>
      <w:r w:rsidR="00A91071">
        <w:rPr>
          <w:rFonts w:ascii="Arial" w:hAnsi="Arial" w:cs="Arial"/>
          <w:lang w:val="mk-MK"/>
        </w:rPr>
        <w:t>гис</w:t>
      </w:r>
      <w:r w:rsidRPr="00A91071">
        <w:rPr>
          <w:rFonts w:ascii="Arial" w:hAnsi="Arial" w:cs="Arial"/>
          <w:lang w:val="mk-MK"/>
        </w:rPr>
        <w:t xml:space="preserve">киот </w:t>
      </w:r>
      <w:r w:rsidR="00664856">
        <w:rPr>
          <w:rFonts w:ascii="Arial" w:hAnsi="Arial" w:cs="Arial"/>
          <w:lang w:val="mk-MK"/>
        </w:rPr>
        <w:t>план за комуникација</w:t>
      </w:r>
      <w:r w:rsidRPr="00A91071">
        <w:rPr>
          <w:rFonts w:ascii="Arial" w:hAnsi="Arial" w:cs="Arial"/>
          <w:lang w:val="mk-MK"/>
        </w:rPr>
        <w:t xml:space="preserve"> ги преточува целите на Комуникациската стратегија во </w:t>
      </w:r>
      <w:r w:rsidR="00095BFA">
        <w:rPr>
          <w:rFonts w:ascii="Arial" w:hAnsi="Arial" w:cs="Arial"/>
          <w:lang w:val="mk-MK"/>
        </w:rPr>
        <w:t>конкретни</w:t>
      </w:r>
      <w:r w:rsidRPr="00A91071">
        <w:rPr>
          <w:rFonts w:ascii="Arial" w:hAnsi="Arial" w:cs="Arial"/>
          <w:lang w:val="mk-MK"/>
        </w:rPr>
        <w:t xml:space="preserve"> комуникациски пристапи, </w:t>
      </w:r>
      <w:r w:rsidR="00C8129B">
        <w:rPr>
          <w:rFonts w:ascii="Arial" w:hAnsi="Arial" w:cs="Arial"/>
          <w:lang w:val="mk-MK"/>
        </w:rPr>
        <w:t>водејќи грижа</w:t>
      </w:r>
      <w:r w:rsidRPr="00A91071">
        <w:rPr>
          <w:rFonts w:ascii="Arial" w:hAnsi="Arial" w:cs="Arial"/>
          <w:lang w:val="mk-MK"/>
        </w:rPr>
        <w:t xml:space="preserve"> сите целни групи </w:t>
      </w:r>
      <w:r w:rsidR="00C8129B">
        <w:rPr>
          <w:rFonts w:ascii="Arial" w:hAnsi="Arial" w:cs="Arial"/>
          <w:lang w:val="mk-MK"/>
        </w:rPr>
        <w:t>да добијат</w:t>
      </w:r>
      <w:r w:rsidRPr="00A91071">
        <w:rPr>
          <w:rFonts w:ascii="Arial" w:hAnsi="Arial" w:cs="Arial"/>
          <w:lang w:val="mk-MK"/>
        </w:rPr>
        <w:t xml:space="preserve"> соодветна, навремена и ефикасна комуникација во </w:t>
      </w:r>
      <w:r w:rsidR="00095BFA">
        <w:rPr>
          <w:rFonts w:ascii="Arial" w:hAnsi="Arial" w:cs="Arial"/>
          <w:lang w:val="mk-MK"/>
        </w:rPr>
        <w:t>целото времетраење</w:t>
      </w:r>
      <w:r w:rsidRPr="00A91071">
        <w:rPr>
          <w:rFonts w:ascii="Arial" w:hAnsi="Arial" w:cs="Arial"/>
          <w:lang w:val="mk-MK"/>
        </w:rPr>
        <w:t xml:space="preserve"> на Стратегијата.</w:t>
      </w:r>
    </w:p>
    <w:tbl>
      <w:tblPr>
        <w:tblStyle w:val="Table"/>
        <w:tblW w:w="0" w:type="auto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20" w:firstRow="1" w:lastRow="0" w:firstColumn="0" w:lastColumn="0" w:noHBand="0" w:noVBand="0"/>
      </w:tblPr>
      <w:tblGrid>
        <w:gridCol w:w="1665"/>
        <w:gridCol w:w="2339"/>
        <w:gridCol w:w="3170"/>
        <w:gridCol w:w="1729"/>
        <w:gridCol w:w="2487"/>
        <w:gridCol w:w="2540"/>
      </w:tblGrid>
      <w:tr w:rsidR="008A4988" w:rsidRPr="00A91071" w14:paraId="21D86B76" w14:textId="77777777" w:rsidTr="008A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FF270D6" w14:textId="1385FA26" w:rsidR="0078288C" w:rsidRPr="00A91071" w:rsidRDefault="0078288C" w:rsidP="00E760AB">
            <w:pPr>
              <w:pStyle w:val="Compac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Целни групи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72DF9D9A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Цел (Зошто)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6F602DB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Канали и формати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36D86732" w14:textId="7BC4A73F" w:rsidR="0078288C" w:rsidRPr="00A91071" w:rsidRDefault="00822980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Динамика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8" w:space="0" w:color="auto"/>
            </w:tcBorders>
          </w:tcPr>
          <w:p w14:paraId="26FBC8A0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Одговорност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4C6556" w14:textId="2F2F0A68" w:rsidR="0078288C" w:rsidRPr="00A91071" w:rsidRDefault="00822980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Показатели</w:t>
            </w:r>
            <w:r w:rsidR="00340E83"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 xml:space="preserve"> (примери)</w:t>
            </w:r>
          </w:p>
        </w:tc>
      </w:tr>
      <w:tr w:rsidR="0078288C" w:rsidRPr="00A91071" w14:paraId="46C57829" w14:textId="77777777" w:rsidTr="008A4988"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</w:tcPr>
          <w:p w14:paraId="069F51D5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Членови на Советот - ГО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29130231" w14:textId="71A05B55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Зајакнување на внатрешната координација; обезбедување двонасочен проток со избирачите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3)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64DC24B8" w14:textId="45880AB5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Брифинзи преку е-пошта; споделен</w:t>
            </w:r>
            <w:r w:rsidR="00822980">
              <w:rPr>
                <w:rFonts w:ascii="Arial" w:hAnsi="Arial" w:cs="Arial"/>
                <w:sz w:val="20"/>
                <w:szCs w:val="20"/>
                <w:lang w:val="mk-MK"/>
              </w:rPr>
              <w:t xml:space="preserve">а база 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документи; месечни координативни повици; шаблони за </w:t>
            </w:r>
            <w:r w:rsidR="006473DE">
              <w:rPr>
                <w:rFonts w:ascii="Arial" w:hAnsi="Arial" w:cs="Arial"/>
                <w:sz w:val="20"/>
                <w:szCs w:val="20"/>
                <w:lang w:val="mk-MK"/>
              </w:rPr>
              <w:t>известување/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ажурирања на избирачите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6C7992E3" w14:textId="7CEDC9E4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Најмалку квартално / </w:t>
            </w:r>
            <w:r w:rsidR="00C8129B">
              <w:rPr>
                <w:rFonts w:ascii="Arial" w:hAnsi="Arial" w:cs="Arial"/>
                <w:sz w:val="20"/>
                <w:szCs w:val="20"/>
                <w:lang w:val="mk-MK"/>
              </w:rPr>
              <w:t>во зависност од</w:t>
            </w:r>
            <w:r w:rsidR="00822980">
              <w:rPr>
                <w:rFonts w:ascii="Arial" w:hAnsi="Arial" w:cs="Arial"/>
                <w:sz w:val="20"/>
                <w:szCs w:val="20"/>
                <w:lang w:val="mk-MK"/>
              </w:rPr>
              <w:t xml:space="preserve"> случувањата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; месечно (повици)</w:t>
            </w:r>
          </w:p>
        </w:tc>
        <w:tc>
          <w:tcPr>
            <w:tcW w:w="2487" w:type="dxa"/>
            <w:tcBorders>
              <w:top w:val="single" w:sz="8" w:space="0" w:color="auto"/>
              <w:bottom w:val="single" w:sz="6" w:space="0" w:color="auto"/>
            </w:tcBorders>
          </w:tcPr>
          <w:p w14:paraId="0F050BD3" w14:textId="6E76C490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Претседател/</w:t>
            </w:r>
            <w:r w:rsidR="00C8129B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Заменик; Секретаријат; РГ за комуникации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FA34CC8" w14:textId="094A0319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Стапка на </w:t>
            </w:r>
            <w:r w:rsidR="00822980">
              <w:rPr>
                <w:rFonts w:ascii="Arial" w:hAnsi="Arial" w:cs="Arial"/>
                <w:sz w:val="20"/>
                <w:szCs w:val="20"/>
                <w:lang w:val="mk-MK"/>
              </w:rPr>
              <w:t>присуство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; </w:t>
            </w:r>
            <w:r w:rsidR="00F7652E" w:rsidRPr="000E076F"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на поднесени </w:t>
            </w:r>
            <w:r w:rsidR="006473DE">
              <w:rPr>
                <w:rFonts w:ascii="Arial" w:hAnsi="Arial" w:cs="Arial"/>
                <w:sz w:val="20"/>
                <w:szCs w:val="20"/>
                <w:lang w:val="mk-MK"/>
              </w:rPr>
              <w:t>известувања/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ажурирања </w:t>
            </w:r>
            <w:r w:rsidR="006473DE">
              <w:rPr>
                <w:rFonts w:ascii="Arial" w:hAnsi="Arial" w:cs="Arial"/>
                <w:sz w:val="20"/>
                <w:szCs w:val="20"/>
                <w:lang w:val="mk-MK"/>
              </w:rPr>
              <w:t>кон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822980">
              <w:rPr>
                <w:rFonts w:ascii="Arial" w:hAnsi="Arial" w:cs="Arial"/>
                <w:sz w:val="20"/>
                <w:szCs w:val="20"/>
                <w:lang w:val="mk-MK"/>
              </w:rPr>
              <w:t>избирачите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; навременост на </w:t>
            </w:r>
            <w:r w:rsidR="006473DE">
              <w:rPr>
                <w:rFonts w:ascii="Arial" w:hAnsi="Arial" w:cs="Arial"/>
                <w:sz w:val="20"/>
                <w:szCs w:val="20"/>
                <w:lang w:val="mk-MK"/>
              </w:rPr>
              <w:t>дадените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информации</w:t>
            </w:r>
          </w:p>
        </w:tc>
      </w:tr>
      <w:tr w:rsidR="0078288C" w:rsidRPr="00A91071" w14:paraId="6D97BA03" w14:textId="77777777" w:rsidTr="008A4988">
        <w:tc>
          <w:tcPr>
            <w:tcW w:w="0" w:type="auto"/>
            <w:tcBorders>
              <w:top w:val="single" w:sz="6" w:space="0" w:color="auto"/>
              <w:left w:val="single" w:sz="12" w:space="0" w:color="auto"/>
            </w:tcBorders>
          </w:tcPr>
          <w:p w14:paraId="209F9F21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Членови на Советот - Институции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6A86D7C" w14:textId="0FB7D7F5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Подобрување на институционалната кохерентност и </w:t>
            </w:r>
            <w:r w:rsidR="00DD556E">
              <w:rPr>
                <w:rFonts w:ascii="Arial" w:hAnsi="Arial" w:cs="Arial"/>
                <w:sz w:val="20"/>
                <w:szCs w:val="20"/>
                <w:lang w:val="mk-MK"/>
              </w:rPr>
              <w:t>оптимизирање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на комуникациските текови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4223B83" w14:textId="3E60CAFF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Официјални брифинзи, меѓуминистерски белешки; владини канали; </w:t>
            </w:r>
            <w:r w:rsidR="00DD556E">
              <w:rPr>
                <w:rFonts w:ascii="Arial" w:hAnsi="Arial" w:cs="Arial"/>
                <w:sz w:val="20"/>
                <w:szCs w:val="20"/>
                <w:lang w:val="mk-MK"/>
              </w:rPr>
              <w:t>клучни пораки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; ажурирања на веб-страницата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051D693" w14:textId="4050260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По секоја сесија</w:t>
            </w:r>
          </w:p>
        </w:tc>
        <w:tc>
          <w:tcPr>
            <w:tcW w:w="2487" w:type="dxa"/>
            <w:tcBorders>
              <w:top w:val="single" w:sz="6" w:space="0" w:color="auto"/>
            </w:tcBorders>
          </w:tcPr>
          <w:p w14:paraId="7EA191E7" w14:textId="2A365AEB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Секретаријат; Институционални претставници</w:t>
            </w:r>
          </w:p>
        </w:tc>
        <w:tc>
          <w:tcPr>
            <w:tcW w:w="1990" w:type="dxa"/>
            <w:tcBorders>
              <w:top w:val="single" w:sz="6" w:space="0" w:color="auto"/>
              <w:right w:val="single" w:sz="12" w:space="0" w:color="auto"/>
            </w:tcBorders>
          </w:tcPr>
          <w:p w14:paraId="17673638" w14:textId="70E2CE49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#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министерски брифинзи; време на објавување; #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заеднички </w:t>
            </w:r>
            <w:r w:rsidR="00DD556E">
              <w:rPr>
                <w:rFonts w:ascii="Arial" w:hAnsi="Arial" w:cs="Arial"/>
                <w:sz w:val="20"/>
                <w:szCs w:val="20"/>
                <w:lang w:val="mk-MK"/>
              </w:rPr>
              <w:t>соопштенија</w:t>
            </w:r>
          </w:p>
        </w:tc>
      </w:tr>
      <w:tr w:rsidR="0078288C" w:rsidRPr="00A91071" w14:paraId="07D646FF" w14:textId="77777777" w:rsidTr="008A4988">
        <w:tc>
          <w:tcPr>
            <w:tcW w:w="0" w:type="auto"/>
            <w:tcBorders>
              <w:left w:val="single" w:sz="12" w:space="0" w:color="auto"/>
            </w:tcBorders>
          </w:tcPr>
          <w:p w14:paraId="70C803B7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Секретаријат (Одделение за соработка со невладини организации)</w:t>
            </w:r>
          </w:p>
        </w:tc>
        <w:tc>
          <w:tcPr>
            <w:tcW w:w="0" w:type="auto"/>
          </w:tcPr>
          <w:p w14:paraId="444382A2" w14:textId="0C76DFB0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Оперативна координација; уредувачка контрола;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 xml:space="preserve">2, 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3)</w:t>
            </w:r>
          </w:p>
        </w:tc>
        <w:tc>
          <w:tcPr>
            <w:tcW w:w="0" w:type="auto"/>
          </w:tcPr>
          <w:p w14:paraId="67B68D11" w14:textId="586DCA12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Ажурирања на веб-страницата; надградба/развој на веб-страницата; развој и одржување на визуелен идентитет; Уреднички календар; листа за проверка на публикации;</w:t>
            </w:r>
          </w:p>
        </w:tc>
        <w:tc>
          <w:tcPr>
            <w:tcW w:w="0" w:type="auto"/>
          </w:tcPr>
          <w:p w14:paraId="614EC29B" w14:textId="569995D8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Во зависност од развојот</w:t>
            </w:r>
          </w:p>
        </w:tc>
        <w:tc>
          <w:tcPr>
            <w:tcW w:w="2487" w:type="dxa"/>
          </w:tcPr>
          <w:p w14:paraId="258C90B2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Секретаријат</w:t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1C97D515" w14:textId="47702759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Навремен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 xml:space="preserve">%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на планирани резултати; стапка на грешки; месечни извештаи </w:t>
            </w:r>
          </w:p>
        </w:tc>
      </w:tr>
      <w:tr w:rsidR="0078288C" w:rsidRPr="00A91071" w14:paraId="50958785" w14:textId="77777777" w:rsidTr="008A4988">
        <w:tc>
          <w:tcPr>
            <w:tcW w:w="0" w:type="auto"/>
            <w:tcBorders>
              <w:left w:val="single" w:sz="12" w:space="0" w:color="auto"/>
              <w:bottom w:val="single" w:sz="6" w:space="0" w:color="auto"/>
            </w:tcBorders>
          </w:tcPr>
          <w:p w14:paraId="426E593D" w14:textId="75C51C2C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 xml:space="preserve">Мрежи и организации на </w:t>
            </w:r>
            <w:r w:rsidR="00F7652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ГО</w:t>
            </w:r>
          </w:p>
        </w:tc>
        <w:tc>
          <w:tcPr>
            <w:tcW w:w="0" w:type="auto"/>
          </w:tcPr>
          <w:p w14:paraId="1E624045" w14:textId="3FE362B9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Зголемување на учеството во консултациите;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подобро разбирање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на улогата на Советот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СЦ1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 xml:space="preserve">, 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2)</w:t>
            </w:r>
          </w:p>
        </w:tc>
        <w:tc>
          <w:tcPr>
            <w:tcW w:w="0" w:type="auto"/>
          </w:tcPr>
          <w:p w14:paraId="6F6A87E8" w14:textId="0F47AC40" w:rsidR="0078288C" w:rsidRPr="00A91071" w:rsidRDefault="00F7652E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F7652E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Ажурирања на веб-страницата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, социјални медиуми; мејлинг листа; квартални билтени; 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регионални информативни сесии; тематски неформални настани; консултативни повици; печатени информативни материјали (брошури, летоци, информативни листови)</w:t>
            </w:r>
          </w:p>
        </w:tc>
        <w:tc>
          <w:tcPr>
            <w:tcW w:w="0" w:type="auto"/>
          </w:tcPr>
          <w:p w14:paraId="64ECBF72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По повик; квартални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информативни сесии</w:t>
            </w:r>
          </w:p>
        </w:tc>
        <w:tc>
          <w:tcPr>
            <w:tcW w:w="2487" w:type="dxa"/>
          </w:tcPr>
          <w:p w14:paraId="69797578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Секретаријат; Членови на Советот</w:t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739C5C80" w14:textId="0A378AAE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#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влезни податоци; присуство на настани; посети на веб-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страница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>та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; ангажман на социјалните мрежи</w:t>
            </w:r>
          </w:p>
        </w:tc>
      </w:tr>
      <w:tr w:rsidR="0078288C" w:rsidRPr="00A91071" w14:paraId="58522AA8" w14:textId="77777777" w:rsidTr="008A4988">
        <w:tc>
          <w:tcPr>
            <w:tcW w:w="0" w:type="auto"/>
            <w:tcBorders>
              <w:top w:val="single" w:sz="6" w:space="0" w:color="auto"/>
              <w:left w:val="single" w:sz="12" w:space="0" w:color="auto"/>
            </w:tcBorders>
          </w:tcPr>
          <w:p w14:paraId="137CDE3F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lastRenderedPageBreak/>
              <w:t>Медиуми</w:t>
            </w:r>
          </w:p>
        </w:tc>
        <w:tc>
          <w:tcPr>
            <w:tcW w:w="0" w:type="auto"/>
          </w:tcPr>
          <w:p w14:paraId="3866E410" w14:textId="3F27ADB4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Подобр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>ување на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видливоста; точно известување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2)</w:t>
            </w:r>
          </w:p>
        </w:tc>
        <w:tc>
          <w:tcPr>
            <w:tcW w:w="0" w:type="auto"/>
          </w:tcPr>
          <w:p w14:paraId="502E4CF7" w14:textId="6FBA2959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Соопштенија за медиумите; брифинзи за медиумите; интервјуа со претседателот/членовите;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>гостувања во емисии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во живо; централна контакт точка за медиумски прашања</w:t>
            </w:r>
          </w:p>
        </w:tc>
        <w:tc>
          <w:tcPr>
            <w:tcW w:w="0" w:type="auto"/>
          </w:tcPr>
          <w:p w14:paraId="1B4B7F31" w14:textId="1D3FE986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Најмалку квартални брифинзи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 xml:space="preserve">во согласност со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случувањата</w:t>
            </w:r>
          </w:p>
        </w:tc>
        <w:tc>
          <w:tcPr>
            <w:tcW w:w="2487" w:type="dxa"/>
          </w:tcPr>
          <w:p w14:paraId="3A5B3E03" w14:textId="5B6FAA23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Претседател/назначени членови; Секретаријат</w:t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5966D04E" w14:textId="6A34F6B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#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споменувања во медиумите;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>процент на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точно известување</w:t>
            </w:r>
          </w:p>
        </w:tc>
      </w:tr>
      <w:tr w:rsidR="0078288C" w:rsidRPr="00A91071" w14:paraId="25528D3E" w14:textId="77777777" w:rsidTr="008A4988">
        <w:tc>
          <w:tcPr>
            <w:tcW w:w="0" w:type="auto"/>
            <w:tcBorders>
              <w:left w:val="single" w:sz="12" w:space="0" w:color="auto"/>
            </w:tcBorders>
          </w:tcPr>
          <w:p w14:paraId="633B6591" w14:textId="3F78BFED" w:rsidR="0078288C" w:rsidRPr="00A91071" w:rsidRDefault="00F7652E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Собрание</w:t>
            </w:r>
          </w:p>
        </w:tc>
        <w:tc>
          <w:tcPr>
            <w:tcW w:w="0" w:type="auto"/>
          </w:tcPr>
          <w:p w14:paraId="78B45326" w14:textId="2754C9A0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Промовирање на разбирањето на препораките на Советот за </w:t>
            </w:r>
            <w:r w:rsidR="00F7652E">
              <w:rPr>
                <w:rFonts w:ascii="Arial" w:hAnsi="Arial" w:cs="Arial"/>
                <w:sz w:val="20"/>
                <w:szCs w:val="20"/>
                <w:lang w:val="mk-MK"/>
              </w:rPr>
              <w:t>овозможувачка околина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 xml:space="preserve">1, 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2)</w:t>
            </w:r>
          </w:p>
        </w:tc>
        <w:tc>
          <w:tcPr>
            <w:tcW w:w="0" w:type="auto"/>
          </w:tcPr>
          <w:p w14:paraId="5C0EBC15" w14:textId="00EE2880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Парламентарни брифинзи;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наменски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состаноци; Учество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во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јавни расправи</w:t>
            </w:r>
          </w:p>
        </w:tc>
        <w:tc>
          <w:tcPr>
            <w:tcW w:w="0" w:type="auto"/>
          </w:tcPr>
          <w:p w14:paraId="3C52489F" w14:textId="40BC93EE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Ад хок; во зависност од развојот на настаните</w:t>
            </w:r>
          </w:p>
        </w:tc>
        <w:tc>
          <w:tcPr>
            <w:tcW w:w="2487" w:type="dxa"/>
          </w:tcPr>
          <w:p w14:paraId="3BB8D12E" w14:textId="61090E4A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Претседател; назначени членови</w:t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3C3DAE3F" w14:textId="2C444C42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#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споделени кратки информации; покани за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расправи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; усвојување препораки</w:t>
            </w:r>
          </w:p>
        </w:tc>
      </w:tr>
      <w:tr w:rsidR="008A4988" w:rsidRPr="00A91071" w14:paraId="1C11B60E" w14:textId="77777777" w:rsidTr="008A4988">
        <w:tc>
          <w:tcPr>
            <w:tcW w:w="0" w:type="auto"/>
            <w:tcBorders>
              <w:left w:val="single" w:sz="12" w:space="0" w:color="auto"/>
              <w:bottom w:val="single" w:sz="8" w:space="0" w:color="auto"/>
            </w:tcBorders>
          </w:tcPr>
          <w:p w14:paraId="6B013BA4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Владини тела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95A04A8" w14:textId="3D39C84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Координирање на реформите;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проследување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на заклучоците на Советот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 xml:space="preserve">1, 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3)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4675E93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Меѓуинституционални состаноци; кратки извештаи за политиките; вкрстено објавување на веб-страницата/ENER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CA41435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Квартално; ад хок</w:t>
            </w:r>
          </w:p>
        </w:tc>
        <w:tc>
          <w:tcPr>
            <w:tcW w:w="2487" w:type="dxa"/>
            <w:tcBorders>
              <w:bottom w:val="single" w:sz="8" w:space="0" w:color="auto"/>
            </w:tcBorders>
          </w:tcPr>
          <w:p w14:paraId="7DA7FC5B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Институционални членови; Секретаријат</w:t>
            </w:r>
          </w:p>
        </w:tc>
        <w:tc>
          <w:tcPr>
            <w:tcW w:w="1990" w:type="dxa"/>
            <w:tcBorders>
              <w:bottom w:val="single" w:sz="8" w:space="0" w:color="auto"/>
              <w:right w:val="single" w:sz="12" w:space="0" w:color="auto"/>
            </w:tcBorders>
          </w:tcPr>
          <w:p w14:paraId="30893DB9" w14:textId="1F19B60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#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одржани состаноци; време на одговор на предлозите од Советот; прифаќање на препораките</w:t>
            </w:r>
          </w:p>
        </w:tc>
      </w:tr>
      <w:tr w:rsidR="008A4988" w:rsidRPr="00A91071" w14:paraId="7A5720A7" w14:textId="77777777" w:rsidTr="008A4988"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</w:tcPr>
          <w:p w14:paraId="6E81F460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Локални самоуправи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0A88F70C" w14:textId="7FA967FC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Проширување на дијалогот на локално ниво; промовирање на соработката со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ГО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; зајакнување на соработката по прашања од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локалното граѓанско општество 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1)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0A595D7E" w14:textId="3D9B61A0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Регионални сесии; општински веб-страници; заеднички настани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14:paraId="6CAF0814" w14:textId="4AD1D37C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Годишн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о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; на годишниот состанок на ЗЕЛС;</w:t>
            </w:r>
          </w:p>
          <w:p w14:paraId="21646944" w14:textId="7AABCB47" w:rsidR="0078288C" w:rsidRPr="00A91071" w:rsidRDefault="0013304D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ад хок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/во зависност од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случувањата</w:t>
            </w:r>
          </w:p>
        </w:tc>
        <w:tc>
          <w:tcPr>
            <w:tcW w:w="2487" w:type="dxa"/>
            <w:tcBorders>
              <w:top w:val="single" w:sz="8" w:space="0" w:color="auto"/>
              <w:bottom w:val="single" w:sz="6" w:space="0" w:color="auto"/>
            </w:tcBorders>
          </w:tcPr>
          <w:p w14:paraId="24271BEA" w14:textId="6275516E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Членови на Советот; Секретаријат</w:t>
            </w:r>
          </w:p>
        </w:tc>
        <w:tc>
          <w:tcPr>
            <w:tcW w:w="1990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B669B0E" w14:textId="0C5D1BDA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#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на ангажирани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општини; #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заеднички настани; повратни информации од учесниците</w:t>
            </w:r>
          </w:p>
        </w:tc>
      </w:tr>
      <w:tr w:rsidR="0078288C" w:rsidRPr="00A91071" w14:paraId="0FAB5A79" w14:textId="77777777" w:rsidTr="008A4988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B8CAC30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Меѓународни партнери (ЕУ, донатори)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EB6A180" w14:textId="513B9BBC" w:rsidR="0078288C" w:rsidRPr="00A91071" w:rsidRDefault="0013304D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У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согласување на комуникацијата со приоритетите на ЕУ;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максимално 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искористување на поддршката </w:t>
            </w:r>
            <w:r w:rsidR="0078288C"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="0078288C"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D8E68D9" w14:textId="44B8F733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Состаноци за координација на донатори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те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; белешки за напредокот; јавни настани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B591404" w14:textId="520D3955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Редовен годишен извештај;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ад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хок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/во зависност од развојот на настаните</w:t>
            </w:r>
          </w:p>
        </w:tc>
        <w:tc>
          <w:tcPr>
            <w:tcW w:w="2487" w:type="dxa"/>
            <w:tcBorders>
              <w:top w:val="single" w:sz="6" w:space="0" w:color="auto"/>
            </w:tcBorders>
          </w:tcPr>
          <w:p w14:paraId="1361A65D" w14:textId="53CDB1BF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Претседател; Секретаријат</w:t>
            </w:r>
          </w:p>
        </w:tc>
        <w:tc>
          <w:tcPr>
            <w:tcW w:w="1990" w:type="dxa"/>
            <w:tcBorders>
              <w:top w:val="single" w:sz="6" w:space="0" w:color="auto"/>
              <w:right w:val="single" w:sz="12" w:space="0" w:color="auto"/>
            </w:tcBorders>
          </w:tcPr>
          <w:p w14:paraId="2437E726" w14:textId="4E7B921B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#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 xml:space="preserve">на </w:t>
            </w: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координативни состаноци; поддржани активности за видливост; заеднички изјави</w:t>
            </w:r>
          </w:p>
        </w:tc>
      </w:tr>
      <w:tr w:rsidR="008A4988" w:rsidRPr="00A91071" w14:paraId="406C9FF2" w14:textId="77777777" w:rsidTr="008A4988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BBA9A3E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Општа јавност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0BBFE8A" w14:textId="64995A93" w:rsidR="0078288C" w:rsidRPr="00A91071" w:rsidRDefault="00C8129B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Градење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 доверба и </w:t>
            </w:r>
            <w:r w:rsidR="0013304D">
              <w:rPr>
                <w:rFonts w:ascii="Arial" w:hAnsi="Arial" w:cs="Arial"/>
                <w:sz w:val="20"/>
                <w:szCs w:val="20"/>
                <w:lang w:val="mk-MK"/>
              </w:rPr>
              <w:t>препознавање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, зголемување на транспарентноста и свеста за улогата и резултатите на Советот </w:t>
            </w:r>
            <w:r w:rsidR="0078288C"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(</w:t>
            </w:r>
            <w:r w:rsidR="006473DE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СЦ</w:t>
            </w:r>
            <w:r w:rsidR="0078288C" w:rsidRPr="00A91071">
              <w:rPr>
                <w:rFonts w:ascii="Arial" w:hAnsi="Arial" w:cs="Arial"/>
                <w:i/>
                <w:iCs/>
                <w:sz w:val="20"/>
                <w:szCs w:val="20"/>
                <w:lang w:val="mk-MK"/>
              </w:rPr>
              <w:t>2)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D2DBE66" w14:textId="4BDCB451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Веб-страница; социјални медиуми; видеа; инфографици; годишен форум; печатени информативни материјали; промотивни материјали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EEE407F" w14:textId="19AD5779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 xml:space="preserve">Тековно; редовно и во зависност од </w:t>
            </w:r>
            <w:r w:rsidR="00C8129B">
              <w:rPr>
                <w:rFonts w:ascii="Arial" w:hAnsi="Arial" w:cs="Arial"/>
                <w:sz w:val="20"/>
                <w:szCs w:val="20"/>
                <w:lang w:val="mk-MK"/>
              </w:rPr>
              <w:t>случувањата</w:t>
            </w:r>
          </w:p>
        </w:tc>
        <w:tc>
          <w:tcPr>
            <w:tcW w:w="2487" w:type="dxa"/>
            <w:tcBorders>
              <w:bottom w:val="single" w:sz="12" w:space="0" w:color="auto"/>
            </w:tcBorders>
          </w:tcPr>
          <w:p w14:paraId="752D221F" w14:textId="77777777" w:rsidR="0078288C" w:rsidRPr="00A91071" w:rsidRDefault="0078288C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91071">
              <w:rPr>
                <w:rFonts w:ascii="Arial" w:hAnsi="Arial" w:cs="Arial"/>
                <w:sz w:val="20"/>
                <w:szCs w:val="20"/>
                <w:lang w:val="mk-MK"/>
              </w:rPr>
              <w:t>Секретаријат; РГ за комуникации</w:t>
            </w:r>
          </w:p>
        </w:tc>
        <w:tc>
          <w:tcPr>
            <w:tcW w:w="1990" w:type="dxa"/>
            <w:tcBorders>
              <w:bottom w:val="single" w:sz="12" w:space="0" w:color="auto"/>
              <w:right w:val="single" w:sz="12" w:space="0" w:color="auto"/>
            </w:tcBorders>
          </w:tcPr>
          <w:p w14:paraId="5F83053B" w14:textId="56C7D86D" w:rsidR="0078288C" w:rsidRPr="00A91071" w:rsidRDefault="00C8129B" w:rsidP="00EB3D2C">
            <w:pPr>
              <w:pStyle w:val="Compact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Број на посетители на веб-страницата</w:t>
            </w:r>
            <w:r w:rsidR="0078288C" w:rsidRPr="00A91071">
              <w:rPr>
                <w:rFonts w:ascii="Arial" w:hAnsi="Arial" w:cs="Arial"/>
                <w:sz w:val="20"/>
                <w:szCs w:val="20"/>
                <w:lang w:val="mk-MK"/>
              </w:rPr>
              <w:t>; досег на социјалните мрежи; присуство на настани; расположение (квалитативно)</w:t>
            </w:r>
          </w:p>
        </w:tc>
      </w:tr>
      <w:bookmarkEnd w:id="0"/>
      <w:bookmarkEnd w:id="1"/>
      <w:bookmarkEnd w:id="2"/>
    </w:tbl>
    <w:p w14:paraId="2C5A508A" w14:textId="543D1C94" w:rsidR="00036D68" w:rsidRPr="00A91071" w:rsidRDefault="00036D68" w:rsidP="00036D68">
      <w:pPr>
        <w:pStyle w:val="FirstParagraph"/>
        <w:jc w:val="both"/>
        <w:rPr>
          <w:rFonts w:ascii="Arial" w:hAnsi="Arial" w:cs="Arial"/>
          <w:i/>
          <w:iCs/>
          <w:sz w:val="22"/>
          <w:szCs w:val="22"/>
          <w:lang w:val="mk-MK"/>
        </w:rPr>
      </w:pPr>
    </w:p>
    <w:sectPr w:rsidR="00036D68" w:rsidRPr="00A91071" w:rsidSect="00036D68">
      <w:headerReference w:type="default" r:id="rId8"/>
      <w:footerReference w:type="default" r:id="rId9"/>
      <w:pgSz w:w="16840" w:h="11900" w:orient="landscape"/>
      <w:pgMar w:top="1440" w:right="1440" w:bottom="1440" w:left="1440" w:header="720" w:footer="16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197D" w14:textId="77777777" w:rsidR="00C12651" w:rsidRDefault="00C12651" w:rsidP="00AE76D3">
      <w:pPr>
        <w:spacing w:after="0" w:line="240" w:lineRule="auto"/>
      </w:pPr>
      <w:r>
        <w:separator/>
      </w:r>
    </w:p>
  </w:endnote>
  <w:endnote w:type="continuationSeparator" w:id="0">
    <w:p w14:paraId="1CD59CD8" w14:textId="77777777" w:rsidR="00C12651" w:rsidRDefault="00C12651" w:rsidP="00AE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63D" w14:textId="232032F8" w:rsidR="00AE76D3" w:rsidRDefault="0060284E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6D4E495" wp14:editId="24AD5F39">
          <wp:simplePos x="0" y="0"/>
          <wp:positionH relativeFrom="column">
            <wp:posOffset>-1144270</wp:posOffset>
          </wp:positionH>
          <wp:positionV relativeFrom="paragraph">
            <wp:posOffset>111370</wp:posOffset>
          </wp:positionV>
          <wp:extent cx="7739380" cy="1107440"/>
          <wp:effectExtent l="0" t="0" r="0" b="0"/>
          <wp:wrapNone/>
          <wp:docPr id="1421703028" name="Picture 1421703028" descr="A blue and white rectangl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97995" name="Picture 1826697995" descr="A blue and white rectangle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3360" behindDoc="0" locked="0" layoutInCell="1" allowOverlap="1" wp14:anchorId="746DF085" wp14:editId="75D5C399">
          <wp:simplePos x="0" y="0"/>
          <wp:positionH relativeFrom="column">
            <wp:posOffset>1029531</wp:posOffset>
          </wp:positionH>
          <wp:positionV relativeFrom="page">
            <wp:posOffset>9749546</wp:posOffset>
          </wp:positionV>
          <wp:extent cx="1169035" cy="800100"/>
          <wp:effectExtent l="0" t="0" r="0" b="0"/>
          <wp:wrapNone/>
          <wp:docPr id="362531053" name="Picture 362531053" descr="A flag with a flag and a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786385" name="Picture 1242786385" descr="A flag with a flag and a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ED4A" w14:textId="77777777" w:rsidR="00C12651" w:rsidRDefault="00C12651" w:rsidP="00AE76D3">
      <w:pPr>
        <w:spacing w:after="0" w:line="240" w:lineRule="auto"/>
      </w:pPr>
      <w:r>
        <w:separator/>
      </w:r>
    </w:p>
  </w:footnote>
  <w:footnote w:type="continuationSeparator" w:id="0">
    <w:p w14:paraId="0A388C85" w14:textId="77777777" w:rsidR="00C12651" w:rsidRDefault="00C12651" w:rsidP="00AE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7F04" w14:textId="0E06252F" w:rsidR="00AE76D3" w:rsidRDefault="0060284E">
    <w:pPr>
      <w:pStyle w:val="Header"/>
    </w:pPr>
    <w:r w:rsidRPr="004E4180">
      <w:rPr>
        <w:noProof/>
        <w:sz w:val="12"/>
        <w:szCs w:val="12"/>
      </w:rPr>
      <w:drawing>
        <wp:anchor distT="0" distB="0" distL="114300" distR="114300" simplePos="0" relativeHeight="251667456" behindDoc="0" locked="0" layoutInCell="1" allowOverlap="1" wp14:anchorId="1CCD2B95" wp14:editId="10601F99">
          <wp:simplePos x="0" y="0"/>
          <wp:positionH relativeFrom="column">
            <wp:posOffset>-1309028</wp:posOffset>
          </wp:positionH>
          <wp:positionV relativeFrom="paragraph">
            <wp:posOffset>-171792</wp:posOffset>
          </wp:positionV>
          <wp:extent cx="7739380" cy="424180"/>
          <wp:effectExtent l="0" t="0" r="0" b="0"/>
          <wp:wrapTopAndBottom/>
          <wp:docPr id="929763036" name="Picture 929763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0E6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266C6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8C8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035C5DD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0" w15:restartNumberingAfterBreak="0">
    <w:nsid w:val="00A99411"/>
    <w:multiLevelType w:val="multilevel"/>
    <w:tmpl w:val="632CF85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1" w15:restartNumberingAfterBreak="0">
    <w:nsid w:val="379208FD"/>
    <w:multiLevelType w:val="multilevel"/>
    <w:tmpl w:val="FC1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26C5F"/>
    <w:multiLevelType w:val="multilevel"/>
    <w:tmpl w:val="6C0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9036E"/>
    <w:multiLevelType w:val="hybridMultilevel"/>
    <w:tmpl w:val="764EF278"/>
    <w:lvl w:ilvl="0" w:tplc="C188048A">
      <w:start w:val="4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72C04"/>
    <w:multiLevelType w:val="multilevel"/>
    <w:tmpl w:val="AA1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A14DA"/>
    <w:multiLevelType w:val="multilevel"/>
    <w:tmpl w:val="437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148331">
    <w:abstractNumId w:val="8"/>
  </w:num>
  <w:num w:numId="2" w16cid:durableId="75832403">
    <w:abstractNumId w:val="6"/>
  </w:num>
  <w:num w:numId="3" w16cid:durableId="1716851836">
    <w:abstractNumId w:val="5"/>
  </w:num>
  <w:num w:numId="4" w16cid:durableId="1746879278">
    <w:abstractNumId w:val="4"/>
  </w:num>
  <w:num w:numId="5" w16cid:durableId="1438646442">
    <w:abstractNumId w:val="7"/>
  </w:num>
  <w:num w:numId="6" w16cid:durableId="265968943">
    <w:abstractNumId w:val="3"/>
  </w:num>
  <w:num w:numId="7" w16cid:durableId="2017882207">
    <w:abstractNumId w:val="2"/>
  </w:num>
  <w:num w:numId="8" w16cid:durableId="1744182167">
    <w:abstractNumId w:val="1"/>
  </w:num>
  <w:num w:numId="9" w16cid:durableId="2013987692">
    <w:abstractNumId w:val="0"/>
  </w:num>
  <w:num w:numId="10" w16cid:durableId="1170948990">
    <w:abstractNumId w:val="12"/>
  </w:num>
  <w:num w:numId="11" w16cid:durableId="195510964">
    <w:abstractNumId w:val="14"/>
  </w:num>
  <w:num w:numId="12" w16cid:durableId="98333731">
    <w:abstractNumId w:val="15"/>
  </w:num>
  <w:num w:numId="13" w16cid:durableId="1572153251">
    <w:abstractNumId w:val="13"/>
  </w:num>
  <w:num w:numId="14" w16cid:durableId="55058828">
    <w:abstractNumId w:val="11"/>
  </w:num>
  <w:num w:numId="15" w16cid:durableId="1601638945">
    <w:abstractNumId w:val="9"/>
  </w:num>
  <w:num w:numId="16" w16cid:durableId="818302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2850394">
    <w:abstractNumId w:val="2"/>
  </w:num>
  <w:num w:numId="18" w16cid:durableId="134705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38A"/>
    <w:rsid w:val="00034616"/>
    <w:rsid w:val="00036D68"/>
    <w:rsid w:val="000547EF"/>
    <w:rsid w:val="0006063C"/>
    <w:rsid w:val="00080F53"/>
    <w:rsid w:val="00095BFA"/>
    <w:rsid w:val="000B5FE5"/>
    <w:rsid w:val="000E076F"/>
    <w:rsid w:val="000F2C8F"/>
    <w:rsid w:val="001136C6"/>
    <w:rsid w:val="00115D51"/>
    <w:rsid w:val="0012326B"/>
    <w:rsid w:val="001253E2"/>
    <w:rsid w:val="0013304D"/>
    <w:rsid w:val="00141FBB"/>
    <w:rsid w:val="0015074B"/>
    <w:rsid w:val="00160E70"/>
    <w:rsid w:val="001A6FB0"/>
    <w:rsid w:val="001D6D6C"/>
    <w:rsid w:val="002226F9"/>
    <w:rsid w:val="002320AF"/>
    <w:rsid w:val="00236881"/>
    <w:rsid w:val="00245125"/>
    <w:rsid w:val="0029639D"/>
    <w:rsid w:val="002A105F"/>
    <w:rsid w:val="002A2EC9"/>
    <w:rsid w:val="002B02BE"/>
    <w:rsid w:val="002B4FA1"/>
    <w:rsid w:val="002D01F8"/>
    <w:rsid w:val="002F2C3C"/>
    <w:rsid w:val="0031700A"/>
    <w:rsid w:val="003224C7"/>
    <w:rsid w:val="0032262F"/>
    <w:rsid w:val="00326F90"/>
    <w:rsid w:val="00340E83"/>
    <w:rsid w:val="003516E8"/>
    <w:rsid w:val="00365228"/>
    <w:rsid w:val="00367CDB"/>
    <w:rsid w:val="0039018F"/>
    <w:rsid w:val="003A7D85"/>
    <w:rsid w:val="003F5BC3"/>
    <w:rsid w:val="004014D5"/>
    <w:rsid w:val="00420D56"/>
    <w:rsid w:val="00426969"/>
    <w:rsid w:val="00443581"/>
    <w:rsid w:val="0044641C"/>
    <w:rsid w:val="00463213"/>
    <w:rsid w:val="0046565A"/>
    <w:rsid w:val="00467561"/>
    <w:rsid w:val="004758E4"/>
    <w:rsid w:val="00497512"/>
    <w:rsid w:val="004A7E6E"/>
    <w:rsid w:val="004C05C3"/>
    <w:rsid w:val="004D03F3"/>
    <w:rsid w:val="005003A1"/>
    <w:rsid w:val="005100C7"/>
    <w:rsid w:val="0055784E"/>
    <w:rsid w:val="00565953"/>
    <w:rsid w:val="005915F7"/>
    <w:rsid w:val="0059601D"/>
    <w:rsid w:val="005D03F3"/>
    <w:rsid w:val="005D45CB"/>
    <w:rsid w:val="0060284E"/>
    <w:rsid w:val="0061369A"/>
    <w:rsid w:val="00622F49"/>
    <w:rsid w:val="006473DE"/>
    <w:rsid w:val="00664856"/>
    <w:rsid w:val="00682891"/>
    <w:rsid w:val="006A307C"/>
    <w:rsid w:val="006C7205"/>
    <w:rsid w:val="006D4061"/>
    <w:rsid w:val="006F714E"/>
    <w:rsid w:val="00733540"/>
    <w:rsid w:val="00742564"/>
    <w:rsid w:val="00752325"/>
    <w:rsid w:val="007556FD"/>
    <w:rsid w:val="007744EB"/>
    <w:rsid w:val="0078288C"/>
    <w:rsid w:val="007B3CB6"/>
    <w:rsid w:val="007C06AC"/>
    <w:rsid w:val="007C167B"/>
    <w:rsid w:val="007C45FE"/>
    <w:rsid w:val="007E4DF0"/>
    <w:rsid w:val="0081524D"/>
    <w:rsid w:val="00822980"/>
    <w:rsid w:val="00843578"/>
    <w:rsid w:val="00857E6F"/>
    <w:rsid w:val="008A4988"/>
    <w:rsid w:val="008A6711"/>
    <w:rsid w:val="008C4A39"/>
    <w:rsid w:val="008D7259"/>
    <w:rsid w:val="008E091F"/>
    <w:rsid w:val="008E7719"/>
    <w:rsid w:val="00900F02"/>
    <w:rsid w:val="00920BFF"/>
    <w:rsid w:val="009342D3"/>
    <w:rsid w:val="00937C76"/>
    <w:rsid w:val="00944A69"/>
    <w:rsid w:val="00946B7C"/>
    <w:rsid w:val="00980F7C"/>
    <w:rsid w:val="00996C42"/>
    <w:rsid w:val="009A6D40"/>
    <w:rsid w:val="009C2B0E"/>
    <w:rsid w:val="009E323F"/>
    <w:rsid w:val="00A021F6"/>
    <w:rsid w:val="00A269BA"/>
    <w:rsid w:val="00A35E9A"/>
    <w:rsid w:val="00A84506"/>
    <w:rsid w:val="00A91071"/>
    <w:rsid w:val="00A921EF"/>
    <w:rsid w:val="00AA1D8D"/>
    <w:rsid w:val="00AA42C3"/>
    <w:rsid w:val="00AB0B20"/>
    <w:rsid w:val="00AE76D3"/>
    <w:rsid w:val="00B360DC"/>
    <w:rsid w:val="00B47730"/>
    <w:rsid w:val="00B538FD"/>
    <w:rsid w:val="00B7514E"/>
    <w:rsid w:val="00BC696A"/>
    <w:rsid w:val="00BD4DFF"/>
    <w:rsid w:val="00C0414D"/>
    <w:rsid w:val="00C06EDF"/>
    <w:rsid w:val="00C12651"/>
    <w:rsid w:val="00C603AA"/>
    <w:rsid w:val="00C8129B"/>
    <w:rsid w:val="00CB0664"/>
    <w:rsid w:val="00CB3439"/>
    <w:rsid w:val="00D01B37"/>
    <w:rsid w:val="00D0457C"/>
    <w:rsid w:val="00D17B54"/>
    <w:rsid w:val="00D648ED"/>
    <w:rsid w:val="00DA6697"/>
    <w:rsid w:val="00DD0361"/>
    <w:rsid w:val="00DD384D"/>
    <w:rsid w:val="00DD556E"/>
    <w:rsid w:val="00E20516"/>
    <w:rsid w:val="00E546C5"/>
    <w:rsid w:val="00E54B70"/>
    <w:rsid w:val="00E760AB"/>
    <w:rsid w:val="00E97C7C"/>
    <w:rsid w:val="00EA0A08"/>
    <w:rsid w:val="00EB3D2C"/>
    <w:rsid w:val="00F64DBA"/>
    <w:rsid w:val="00F7652E"/>
    <w:rsid w:val="00F84173"/>
    <w:rsid w:val="00F953E6"/>
    <w:rsid w:val="00FC2882"/>
    <w:rsid w:val="00FC693F"/>
    <w:rsid w:val="00FE440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47485"/>
  <w14:defaultImageDpi w14:val="300"/>
  <w15:docId w15:val="{72266561-CE12-0B44-9CD1-DF890E0D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BodyText"/>
    <w:next w:val="BodyText"/>
    <w:qFormat/>
    <w:rsid w:val="0081524D"/>
    <w:pPr>
      <w:spacing w:before="180" w:after="180" w:line="240" w:lineRule="auto"/>
    </w:pPr>
    <w:rPr>
      <w:rFonts w:eastAsiaTheme="minorHAnsi"/>
      <w:sz w:val="24"/>
      <w:szCs w:val="24"/>
    </w:rPr>
  </w:style>
  <w:style w:type="paragraph" w:customStyle="1" w:styleId="Compact">
    <w:name w:val="Compact"/>
    <w:basedOn w:val="BodyText"/>
    <w:qFormat/>
    <w:rsid w:val="00F64DBA"/>
    <w:pPr>
      <w:spacing w:before="36" w:after="36" w:line="240" w:lineRule="auto"/>
    </w:pPr>
    <w:rPr>
      <w:rFonts w:eastAsiaTheme="minorHAnsi"/>
      <w:sz w:val="24"/>
      <w:szCs w:val="24"/>
    </w:rPr>
  </w:style>
  <w:style w:type="table" w:customStyle="1" w:styleId="Table">
    <w:name w:val="Table"/>
    <w:semiHidden/>
    <w:unhideWhenUsed/>
    <w:qFormat/>
    <w:rsid w:val="00F64DBA"/>
    <w:pPr>
      <w:spacing w:line="240" w:lineRule="auto"/>
    </w:pPr>
    <w:rPr>
      <w:rFonts w:eastAsiaTheme="minorHAnsi"/>
      <w:sz w:val="24"/>
      <w:szCs w:val="24"/>
      <w:lang w:val="en-US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Revision">
    <w:name w:val="Revision"/>
    <w:hidden/>
    <w:uiPriority w:val="99"/>
    <w:semiHidden/>
    <w:rsid w:val="00E54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Suzana Nikodijevic</cp:lastModifiedBy>
  <cp:revision>2</cp:revision>
  <dcterms:created xsi:type="dcterms:W3CDTF">2026-05-28T10:42:00Z</dcterms:created>
  <dcterms:modified xsi:type="dcterms:W3CDTF">2026-05-28T10:42:00Z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a999210c0596dfc5ae77e35e8ae5aaf2a4bc0193748498d6b4e8701d69b22491</vt:lpwstr>
  </property>
</Properties>
</file>