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144D" w14:textId="52860532" w:rsidR="00132BD8" w:rsidRDefault="00132BD8" w:rsidP="00132BD8">
      <w:pPr>
        <w:pStyle w:val="Header"/>
        <w:jc w:val="center"/>
      </w:pPr>
      <w:r>
        <w:rPr>
          <w:noProof/>
        </w:rPr>
        <w:drawing>
          <wp:inline distT="0" distB="0" distL="0" distR="0" wp14:anchorId="65D10F51" wp14:editId="20457882">
            <wp:extent cx="3019425" cy="1040892"/>
            <wp:effectExtent l="0" t="0" r="0" b="6985"/>
            <wp:docPr id="1659879501" name="Picture 1659879501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79501" name="Picture 1659879501" descr="A white and gold logo with a building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7C064" w14:textId="77777777" w:rsidR="00132BD8" w:rsidRDefault="00132BD8" w:rsidP="00132BD8">
      <w:pPr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</w:pPr>
      <w:r w:rsidRPr="009225F1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Совет за соработка меѓу Владата и граѓанското општество</w:t>
      </w:r>
    </w:p>
    <w:p w14:paraId="519C7DD1" w14:textId="77777777" w:rsidR="00132BD8" w:rsidRPr="001F0444" w:rsidRDefault="00132BD8" w:rsidP="00132BD8">
      <w:pPr>
        <w:jc w:val="center"/>
        <w:rPr>
          <w:rFonts w:ascii="StobiSerif Regular" w:hAnsi="StobiSerif Regular"/>
        </w:rPr>
      </w:pPr>
    </w:p>
    <w:p w14:paraId="7B938B52" w14:textId="77777777" w:rsidR="00132BD8" w:rsidRPr="001F0444" w:rsidRDefault="00132BD8" w:rsidP="00132BD8">
      <w:pPr>
        <w:jc w:val="center"/>
        <w:rPr>
          <w:rFonts w:ascii="StobiSerif Regular" w:hAnsi="StobiSerif Regular"/>
        </w:rPr>
      </w:pPr>
    </w:p>
    <w:p w14:paraId="6654C52B" w14:textId="77777777" w:rsidR="00132BD8" w:rsidRPr="001F0444" w:rsidRDefault="00132BD8" w:rsidP="00132BD8">
      <w:pPr>
        <w:jc w:val="center"/>
        <w:rPr>
          <w:rFonts w:ascii="StobiSerif Regular" w:hAnsi="StobiSerif Regular"/>
        </w:rPr>
      </w:pPr>
    </w:p>
    <w:p w14:paraId="5D1CF08A" w14:textId="77777777" w:rsidR="00132BD8" w:rsidRPr="001F0444" w:rsidRDefault="00132BD8" w:rsidP="00132BD8">
      <w:pPr>
        <w:jc w:val="right"/>
        <w:rPr>
          <w:rFonts w:ascii="StobiSerif Regular" w:hAnsi="StobiSerif Regular"/>
        </w:rPr>
      </w:pPr>
    </w:p>
    <w:p w14:paraId="3A44C9E1" w14:textId="77777777" w:rsidR="00132BD8" w:rsidRPr="001F0444" w:rsidRDefault="00132BD8" w:rsidP="00132BD8">
      <w:pPr>
        <w:jc w:val="center"/>
        <w:rPr>
          <w:rFonts w:ascii="StobiSerif Regular" w:hAnsi="StobiSerif Regular"/>
        </w:rPr>
      </w:pPr>
    </w:p>
    <w:p w14:paraId="7C019E37" w14:textId="77777777" w:rsidR="00132BD8" w:rsidRPr="001F0444" w:rsidRDefault="00132BD8" w:rsidP="00132BD8">
      <w:pPr>
        <w:jc w:val="center"/>
        <w:rPr>
          <w:rFonts w:ascii="StobiSerif Regular" w:hAnsi="StobiSerif Regular"/>
        </w:rPr>
      </w:pPr>
    </w:p>
    <w:p w14:paraId="130316AC" w14:textId="57539AFD" w:rsidR="00132BD8" w:rsidRPr="001017B8" w:rsidRDefault="00132BD8" w:rsidP="00132BD8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017B8">
        <w:rPr>
          <w:rFonts w:ascii="Arial" w:hAnsi="Arial" w:cs="Arial"/>
          <w:b/>
          <w:sz w:val="20"/>
          <w:szCs w:val="20"/>
        </w:rPr>
        <w:t xml:space="preserve">ПРЕДЛОГ - ПРОГРАМА </w:t>
      </w:r>
    </w:p>
    <w:p w14:paraId="3F9B23FB" w14:textId="0DB5D041" w:rsidR="00132BD8" w:rsidRPr="001017B8" w:rsidRDefault="00132BD8" w:rsidP="00132BD8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017B8">
        <w:rPr>
          <w:rFonts w:ascii="Arial" w:hAnsi="Arial" w:cs="Arial"/>
          <w:b/>
          <w:sz w:val="20"/>
          <w:szCs w:val="20"/>
        </w:rPr>
        <w:t xml:space="preserve">за работа на Советот за соработка меѓу Владата и граѓанското општество </w:t>
      </w:r>
    </w:p>
    <w:p w14:paraId="513C336F" w14:textId="3DC01A18" w:rsidR="00132BD8" w:rsidRPr="001017B8" w:rsidRDefault="00132BD8" w:rsidP="00132BD8">
      <w:pPr>
        <w:jc w:val="center"/>
        <w:rPr>
          <w:rFonts w:ascii="Arial" w:hAnsi="Arial" w:cs="Arial"/>
          <w:b/>
          <w:sz w:val="20"/>
          <w:szCs w:val="20"/>
        </w:rPr>
      </w:pPr>
      <w:r w:rsidRPr="001017B8">
        <w:rPr>
          <w:rFonts w:ascii="Arial" w:hAnsi="Arial" w:cs="Arial"/>
          <w:b/>
          <w:sz w:val="20"/>
          <w:szCs w:val="20"/>
        </w:rPr>
        <w:t>2025-2026 година</w:t>
      </w:r>
    </w:p>
    <w:p w14:paraId="0D8E002B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1BA9391B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46007F39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1C1D9350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06075D3A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63902D65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2D2A65CB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4E8FD804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7F5EDEED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759B2341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5BA469E0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4D7E9A8E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0CFC0DCF" w14:textId="77777777" w:rsidR="00132BD8" w:rsidRPr="001017B8" w:rsidRDefault="00132BD8" w:rsidP="00132BD8">
      <w:pPr>
        <w:jc w:val="both"/>
        <w:rPr>
          <w:rFonts w:ascii="Arial" w:hAnsi="Arial" w:cs="Arial"/>
          <w:sz w:val="20"/>
          <w:szCs w:val="20"/>
        </w:rPr>
      </w:pPr>
    </w:p>
    <w:p w14:paraId="3CAA77F8" w14:textId="77777777" w:rsidR="00132BD8" w:rsidRPr="001017B8" w:rsidRDefault="00132BD8" w:rsidP="00132BD8">
      <w:pPr>
        <w:jc w:val="center"/>
        <w:rPr>
          <w:rFonts w:ascii="Arial" w:hAnsi="Arial" w:cs="Arial"/>
          <w:sz w:val="20"/>
          <w:szCs w:val="20"/>
        </w:rPr>
      </w:pPr>
    </w:p>
    <w:p w14:paraId="72C940A7" w14:textId="4EF8002D" w:rsidR="00132BD8" w:rsidRPr="001017B8" w:rsidRDefault="00132BD8" w:rsidP="00A04378">
      <w:pPr>
        <w:jc w:val="center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t>Скопје, септември 2025 година</w:t>
      </w:r>
    </w:p>
    <w:p w14:paraId="2DC24586" w14:textId="77777777" w:rsidR="00132BD8" w:rsidRPr="001017B8" w:rsidRDefault="00132BD8" w:rsidP="00132BD8">
      <w:pPr>
        <w:jc w:val="center"/>
        <w:rPr>
          <w:rFonts w:ascii="Arial" w:hAnsi="Arial" w:cs="Arial"/>
          <w:sz w:val="20"/>
          <w:szCs w:val="20"/>
        </w:rPr>
      </w:pPr>
    </w:p>
    <w:p w14:paraId="2C2142CE" w14:textId="7305E9F6" w:rsidR="00132BD8" w:rsidRPr="001017B8" w:rsidRDefault="00132BD8" w:rsidP="001017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br w:type="page"/>
      </w:r>
      <w:r w:rsidR="001017B8" w:rsidRPr="001017B8">
        <w:rPr>
          <w:rFonts w:ascii="Arial" w:hAnsi="Arial" w:cs="Arial"/>
          <w:sz w:val="20"/>
          <w:szCs w:val="20"/>
        </w:rPr>
        <w:lastRenderedPageBreak/>
        <w:t>Врз основа на член 2 став (2) алинеја 12 од Деловникот за работа на Советот за соработка меѓу Владата и граѓанското општество бр.37-388/1 од 14.5.2018 година, бр.38-22/1 од 4.7.2019 година, бр.38-29/7 од 28.10.2019 година, бр.39-38/3 од 22.4.2021 година и бр.39- 41/3 од 3.6.2021 година, Советот за соработка меѓу Владата и грѓанското општество, на седницата одржана на 25.09.2025 година, донесе</w:t>
      </w:r>
    </w:p>
    <w:p w14:paraId="533C8538" w14:textId="130C9C33" w:rsidR="00132BD8" w:rsidRPr="001017B8" w:rsidRDefault="00132BD8">
      <w:pPr>
        <w:rPr>
          <w:rFonts w:ascii="Arial" w:hAnsi="Arial" w:cs="Arial"/>
          <w:b/>
          <w:sz w:val="20"/>
          <w:szCs w:val="20"/>
        </w:rPr>
      </w:pPr>
    </w:p>
    <w:p w14:paraId="4A926A54" w14:textId="1B7ADB51" w:rsidR="00132BD8" w:rsidRPr="001017B8" w:rsidRDefault="00000000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017B8">
        <w:rPr>
          <w:rFonts w:ascii="Arial" w:hAnsi="Arial" w:cs="Arial"/>
          <w:b/>
          <w:sz w:val="20"/>
          <w:szCs w:val="20"/>
        </w:rPr>
        <w:t xml:space="preserve"> Програма за работа на Советот за соработка меѓу Владата и граѓанското општество </w:t>
      </w:r>
    </w:p>
    <w:p w14:paraId="00000001" w14:textId="2478D50F" w:rsidR="006078F3" w:rsidRPr="001017B8" w:rsidRDefault="00000000">
      <w:pPr>
        <w:jc w:val="center"/>
        <w:rPr>
          <w:rFonts w:ascii="Arial" w:hAnsi="Arial" w:cs="Arial"/>
          <w:b/>
          <w:sz w:val="20"/>
          <w:szCs w:val="20"/>
        </w:rPr>
      </w:pPr>
      <w:r w:rsidRPr="001017B8">
        <w:rPr>
          <w:rFonts w:ascii="Arial" w:hAnsi="Arial" w:cs="Arial"/>
          <w:b/>
          <w:sz w:val="20"/>
          <w:szCs w:val="20"/>
        </w:rPr>
        <w:t>2025-2026 година</w:t>
      </w:r>
    </w:p>
    <w:p w14:paraId="21E68EE2" w14:textId="77777777" w:rsidR="00132BD8" w:rsidRPr="001017B8" w:rsidRDefault="00132BD8">
      <w:pPr>
        <w:rPr>
          <w:rFonts w:ascii="Arial" w:hAnsi="Arial" w:cs="Arial"/>
          <w:sz w:val="20"/>
          <w:szCs w:val="20"/>
          <w:lang w:val="en-US"/>
        </w:rPr>
      </w:pPr>
    </w:p>
    <w:p w14:paraId="085F512D" w14:textId="300DFEAC" w:rsidR="001017B8" w:rsidRDefault="00132BD8" w:rsidP="001017B8">
      <w:pPr>
        <w:pStyle w:val="ListParagraph"/>
        <w:numPr>
          <w:ilvl w:val="0"/>
          <w:numId w:val="7"/>
        </w:numPr>
        <w:ind w:left="0" w:firstLine="540"/>
        <w:jc w:val="both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t>Со оваа Програма се утврдуваат резултатите</w:t>
      </w:r>
      <w:r w:rsidR="001017B8" w:rsidRPr="001017B8">
        <w:rPr>
          <w:rFonts w:ascii="Arial" w:hAnsi="Arial" w:cs="Arial"/>
          <w:sz w:val="20"/>
          <w:szCs w:val="20"/>
          <w:lang w:val="en-US"/>
        </w:rPr>
        <w:t xml:space="preserve">, </w:t>
      </w:r>
      <w:r w:rsidR="001017B8" w:rsidRPr="001017B8">
        <w:rPr>
          <w:rFonts w:ascii="Arial" w:hAnsi="Arial" w:cs="Arial"/>
          <w:sz w:val="20"/>
          <w:szCs w:val="20"/>
        </w:rPr>
        <w:t>активностите</w:t>
      </w:r>
      <w:r w:rsidRPr="001017B8">
        <w:rPr>
          <w:rFonts w:ascii="Arial" w:hAnsi="Arial" w:cs="Arial"/>
          <w:sz w:val="20"/>
          <w:szCs w:val="20"/>
        </w:rPr>
        <w:t xml:space="preserve"> и тематските прашања кои што Советот за соработка меѓу Владата и граѓанското општество (во натамошниот текст: Советот) ќе ги разгледува и ќе развие насоки за подобрување во </w:t>
      </w:r>
      <w:r w:rsidR="001017B8" w:rsidRPr="001017B8">
        <w:rPr>
          <w:rFonts w:ascii="Arial" w:hAnsi="Arial" w:cs="Arial"/>
          <w:sz w:val="20"/>
          <w:szCs w:val="20"/>
        </w:rPr>
        <w:t>периодот септември 2025 година до 31 декември 2026 година</w:t>
      </w:r>
      <w:r w:rsidR="001017B8">
        <w:rPr>
          <w:rFonts w:ascii="Arial" w:hAnsi="Arial" w:cs="Arial"/>
          <w:sz w:val="20"/>
          <w:szCs w:val="20"/>
        </w:rPr>
        <w:t xml:space="preserve"> вклучувајќи и временска рамка и потребни финансиски средства за реализација.</w:t>
      </w:r>
    </w:p>
    <w:p w14:paraId="4130C031" w14:textId="77777777" w:rsidR="001017B8" w:rsidRPr="001017B8" w:rsidRDefault="001017B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</w:p>
    <w:p w14:paraId="5B7119B6" w14:textId="284B3424" w:rsidR="00107DD1" w:rsidRPr="00107DD1" w:rsidRDefault="00107DD1" w:rsidP="00107DD1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Програмата за работа на Советот се води од надлежностите на Советот согласно член 2 од Одлуката за формирање </w:t>
      </w:r>
      <w:r w:rsidRPr="00107DD1">
        <w:rPr>
          <w:rFonts w:ascii="Arial" w:hAnsi="Arial" w:cs="Arial"/>
          <w:sz w:val="20"/>
          <w:szCs w:val="20"/>
        </w:rPr>
        <w:t>на Совет за соработка меѓу Владата и граѓанското општество</w:t>
      </w:r>
      <w:r>
        <w:rPr>
          <w:rFonts w:ascii="Arial" w:hAnsi="Arial" w:cs="Arial"/>
          <w:sz w:val="20"/>
          <w:szCs w:val="20"/>
        </w:rPr>
        <w:t xml:space="preserve"> и во тие рамки ги утврдува приоритетите и темите за дадениот период на опфат на Програмата.</w:t>
      </w:r>
      <w:r w:rsidR="007554A2">
        <w:rPr>
          <w:rFonts w:ascii="Arial" w:hAnsi="Arial" w:cs="Arial"/>
          <w:sz w:val="20"/>
          <w:szCs w:val="20"/>
        </w:rPr>
        <w:t xml:space="preserve"> Воедно, приоритетите и темите го рефлектираат и Акцискиот план за спроведување на Стратегијата на Владата на Република Северна Македонија за соработка со и развој на граѓанското општество 2025-2028 година. </w:t>
      </w:r>
    </w:p>
    <w:p w14:paraId="198EAFAE" w14:textId="1CF43ED9" w:rsidR="00107DD1" w:rsidRDefault="00107DD1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</w:p>
    <w:p w14:paraId="67C0D50B" w14:textId="489268B8" w:rsidR="001017B8" w:rsidRDefault="00132BD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t>Во периодот 202</w:t>
      </w:r>
      <w:r w:rsidR="00107DD1">
        <w:rPr>
          <w:rFonts w:ascii="Arial" w:hAnsi="Arial" w:cs="Arial"/>
          <w:sz w:val="20"/>
          <w:szCs w:val="20"/>
        </w:rPr>
        <w:t>5</w:t>
      </w:r>
      <w:r w:rsidRPr="001017B8">
        <w:rPr>
          <w:rFonts w:ascii="Arial" w:hAnsi="Arial" w:cs="Arial"/>
          <w:sz w:val="20"/>
          <w:szCs w:val="20"/>
        </w:rPr>
        <w:t>-202</w:t>
      </w:r>
      <w:r w:rsidR="00107DD1">
        <w:rPr>
          <w:rFonts w:ascii="Arial" w:hAnsi="Arial" w:cs="Arial"/>
          <w:sz w:val="20"/>
          <w:szCs w:val="20"/>
        </w:rPr>
        <w:t>6 година</w:t>
      </w:r>
      <w:r w:rsidRPr="001017B8">
        <w:rPr>
          <w:rFonts w:ascii="Arial" w:hAnsi="Arial" w:cs="Arial"/>
          <w:sz w:val="20"/>
          <w:szCs w:val="20"/>
        </w:rPr>
        <w:t xml:space="preserve">, работата на Советот ќе биде насочена кон ефикасно и ефективно влијание на владините и секторските политики поврзани со околината во која се развива граѓанското општество, преку давање мислење по предлози на закони, стратегии, програми и други правни акти кои се однесуваат или влијаат на развојот и на делувањето на граѓанското општество, како и преку иницирање, донесување на нови или изменување и дополнување на постојните прописи за унапредување на правната и институционалната рамка за делување на граѓанските организации. </w:t>
      </w:r>
    </w:p>
    <w:p w14:paraId="59D5AB28" w14:textId="77777777" w:rsidR="001017B8" w:rsidRDefault="001017B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</w:p>
    <w:p w14:paraId="1B86F7DB" w14:textId="600A2A17" w:rsidR="001017B8" w:rsidRDefault="00132BD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t>Советот континуирано ќе го следи спроведувањето на Стратегијата на Владата на Република Северна Македонија за соработка со и развој на граѓанското општество, со Акциски план 202</w:t>
      </w:r>
      <w:r w:rsidR="007554A2">
        <w:rPr>
          <w:rFonts w:ascii="Arial" w:hAnsi="Arial" w:cs="Arial"/>
          <w:sz w:val="20"/>
          <w:szCs w:val="20"/>
        </w:rPr>
        <w:t>5</w:t>
      </w:r>
      <w:r w:rsidRPr="001017B8">
        <w:rPr>
          <w:rFonts w:ascii="Arial" w:hAnsi="Arial" w:cs="Arial"/>
          <w:sz w:val="20"/>
          <w:szCs w:val="20"/>
        </w:rPr>
        <w:t>-202</w:t>
      </w:r>
      <w:r w:rsidR="007554A2">
        <w:rPr>
          <w:rFonts w:ascii="Arial" w:hAnsi="Arial" w:cs="Arial"/>
          <w:sz w:val="20"/>
          <w:szCs w:val="20"/>
        </w:rPr>
        <w:t>8</w:t>
      </w:r>
      <w:r w:rsidRPr="001017B8">
        <w:rPr>
          <w:rFonts w:ascii="Arial" w:hAnsi="Arial" w:cs="Arial"/>
          <w:sz w:val="20"/>
          <w:szCs w:val="20"/>
        </w:rPr>
        <w:t xml:space="preserve">, преку разгледување на </w:t>
      </w:r>
      <w:r w:rsidR="007554A2">
        <w:rPr>
          <w:rFonts w:ascii="Arial" w:hAnsi="Arial" w:cs="Arial"/>
          <w:sz w:val="20"/>
          <w:szCs w:val="20"/>
        </w:rPr>
        <w:t>периодични</w:t>
      </w:r>
      <w:r w:rsidRPr="001017B8">
        <w:rPr>
          <w:rFonts w:ascii="Arial" w:hAnsi="Arial" w:cs="Arial"/>
          <w:sz w:val="20"/>
          <w:szCs w:val="20"/>
        </w:rPr>
        <w:t xml:space="preserve"> извештаи за напредокот на спроведувањето на Стратегијата и давање мислење на годишно ниво за реализација на овој стратешки документ. </w:t>
      </w:r>
    </w:p>
    <w:p w14:paraId="4A1243A0" w14:textId="77777777" w:rsidR="001017B8" w:rsidRDefault="001017B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</w:p>
    <w:p w14:paraId="119AC16C" w14:textId="28E71095" w:rsidR="001017B8" w:rsidRDefault="00132BD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t xml:space="preserve">Советот </w:t>
      </w:r>
      <w:r w:rsidR="007554A2">
        <w:rPr>
          <w:rFonts w:ascii="Arial" w:hAnsi="Arial" w:cs="Arial"/>
          <w:sz w:val="20"/>
          <w:szCs w:val="20"/>
        </w:rPr>
        <w:t xml:space="preserve">исто така </w:t>
      </w:r>
      <w:r w:rsidRPr="001017B8">
        <w:rPr>
          <w:rFonts w:ascii="Arial" w:hAnsi="Arial" w:cs="Arial"/>
          <w:sz w:val="20"/>
          <w:szCs w:val="20"/>
        </w:rPr>
        <w:t>ќе ја следи и анализира вклученоста на организациите во процесот на креирање на јавната политика и со својата работа ќе придонесува за подигање на свеста за</w:t>
      </w:r>
      <w:r w:rsidRPr="001017B8">
        <w:rPr>
          <w:rFonts w:ascii="Arial" w:hAnsi="Arial" w:cs="Arial"/>
          <w:sz w:val="20"/>
          <w:szCs w:val="20"/>
          <w:lang w:val="en-US"/>
        </w:rPr>
        <w:t xml:space="preserve"> </w:t>
      </w:r>
      <w:r w:rsidRPr="001017B8">
        <w:rPr>
          <w:rFonts w:ascii="Arial" w:hAnsi="Arial" w:cs="Arial"/>
          <w:sz w:val="20"/>
          <w:szCs w:val="20"/>
        </w:rPr>
        <w:t xml:space="preserve">промовирање на култура на соработка и партнерство преку изработка и спроведување на ефективни методи за консултирање и информирање на граѓанските организации за работата на Советот и унапредување на соработката со постојните ефективни тематски мрежи на граѓанските организации. </w:t>
      </w:r>
    </w:p>
    <w:p w14:paraId="4E9E4CE5" w14:textId="77777777" w:rsidR="001017B8" w:rsidRDefault="001017B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</w:p>
    <w:p w14:paraId="6BB513A6" w14:textId="3C201D24" w:rsidR="007554A2" w:rsidRDefault="00132BD8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  <w:r w:rsidRPr="001017B8">
        <w:rPr>
          <w:rFonts w:ascii="Arial" w:hAnsi="Arial" w:cs="Arial"/>
          <w:sz w:val="20"/>
          <w:szCs w:val="20"/>
        </w:rPr>
        <w:t>Во однос на финансиската одржливост на граѓанските организации</w:t>
      </w:r>
      <w:r w:rsidR="00A04378">
        <w:rPr>
          <w:rFonts w:ascii="Arial" w:hAnsi="Arial" w:cs="Arial"/>
          <w:sz w:val="20"/>
          <w:szCs w:val="20"/>
        </w:rPr>
        <w:t xml:space="preserve"> којшто во изминатиот период е еден од главните предизвици за граѓанските организации</w:t>
      </w:r>
      <w:r w:rsidRPr="001017B8">
        <w:rPr>
          <w:rFonts w:ascii="Arial" w:hAnsi="Arial" w:cs="Arial"/>
          <w:sz w:val="20"/>
          <w:szCs w:val="20"/>
        </w:rPr>
        <w:t>, клучен фокус на Советот ќе биде унапредување на системот на државно финансирање на граѓанските организации</w:t>
      </w:r>
      <w:r w:rsidR="007554A2">
        <w:rPr>
          <w:rFonts w:ascii="Arial" w:hAnsi="Arial" w:cs="Arial"/>
          <w:sz w:val="20"/>
          <w:szCs w:val="20"/>
        </w:rPr>
        <w:t xml:space="preserve"> вклучително и примената на </w:t>
      </w:r>
      <w:r w:rsidR="007554A2" w:rsidRPr="001017B8">
        <w:rPr>
          <w:rFonts w:ascii="Arial" w:hAnsi="Arial" w:cs="Arial"/>
          <w:sz w:val="20"/>
          <w:szCs w:val="20"/>
        </w:rPr>
        <w:t>Кодексот на добри практики за финансиска поддршка на здруженијата на граѓани и фондациите</w:t>
      </w:r>
      <w:r w:rsidR="007554A2">
        <w:rPr>
          <w:rFonts w:ascii="Arial" w:hAnsi="Arial" w:cs="Arial"/>
          <w:sz w:val="20"/>
          <w:szCs w:val="20"/>
        </w:rPr>
        <w:t xml:space="preserve"> како и унапредување на даночната рамка за граѓанските организации.</w:t>
      </w:r>
    </w:p>
    <w:p w14:paraId="014D7AE5" w14:textId="77777777" w:rsidR="007554A2" w:rsidRDefault="007554A2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</w:rPr>
      </w:pPr>
    </w:p>
    <w:p w14:paraId="00000003" w14:textId="5758D538" w:rsidR="006078F3" w:rsidRPr="001017B8" w:rsidRDefault="007554A2" w:rsidP="001017B8">
      <w:pPr>
        <w:pStyle w:val="ListParagraph"/>
        <w:ind w:left="0" w:firstLine="5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Во следниот период во својата работа Советот ќе даде особен фокус на </w:t>
      </w:r>
      <w:r w:rsidR="00A04378">
        <w:rPr>
          <w:rFonts w:ascii="Arial" w:hAnsi="Arial" w:cs="Arial"/>
          <w:sz w:val="20"/>
          <w:szCs w:val="20"/>
        </w:rPr>
        <w:t>унапредување на комуникацијата со граѓанските организации и институциите, во вклучување и консултации на поширок круг на граѓански организации</w:t>
      </w:r>
      <w:r>
        <w:rPr>
          <w:rFonts w:ascii="Arial" w:hAnsi="Arial" w:cs="Arial"/>
          <w:sz w:val="20"/>
          <w:szCs w:val="20"/>
        </w:rPr>
        <w:t xml:space="preserve"> </w:t>
      </w:r>
      <w:r w:rsidR="00A04378">
        <w:rPr>
          <w:rFonts w:ascii="Arial" w:hAnsi="Arial" w:cs="Arial"/>
          <w:sz w:val="20"/>
          <w:szCs w:val="20"/>
        </w:rPr>
        <w:t xml:space="preserve">за прашања во надлежност на Советот и во промовирање </w:t>
      </w:r>
      <w:r w:rsidR="00A04378">
        <w:rPr>
          <w:rFonts w:ascii="Arial" w:hAnsi="Arial" w:cs="Arial"/>
          <w:sz w:val="20"/>
          <w:szCs w:val="20"/>
        </w:rPr>
        <w:lastRenderedPageBreak/>
        <w:t>на добри практики на меѓусекторска соработка. Во оваа насока, Програмата за работа се третира како динамичен документ кој по консултации со граѓанските организации и утврдените потреби може да се надградува и дополнува.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BEB0A9" w14:textId="77777777" w:rsidR="00132BD8" w:rsidRPr="001017B8" w:rsidRDefault="00132BD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5F2F13F7" w14:textId="77777777">
        <w:tc>
          <w:tcPr>
            <w:tcW w:w="9350" w:type="dxa"/>
            <w:gridSpan w:val="4"/>
            <w:shd w:val="clear" w:color="auto" w:fill="C1E4F5"/>
          </w:tcPr>
          <w:p w14:paraId="00000004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005" w14:textId="77777777" w:rsidR="006078F3" w:rsidRPr="001017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6" w:hanging="2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Следење и анализа на јавната политика која влијае на околината во која се развива граѓанското општество</w:t>
            </w:r>
          </w:p>
          <w:p w14:paraId="00000006" w14:textId="77777777" w:rsidR="006078F3" w:rsidRPr="001017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46" w:hanging="2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Предлагање иницијативи за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</w:t>
            </w:r>
          </w:p>
        </w:tc>
      </w:tr>
      <w:tr w:rsidR="006078F3" w:rsidRPr="001017B8" w14:paraId="2C1DCC5D" w14:textId="77777777">
        <w:tc>
          <w:tcPr>
            <w:tcW w:w="2875" w:type="dxa"/>
            <w:shd w:val="clear" w:color="auto" w:fill="DAE9F7"/>
          </w:tcPr>
          <w:p w14:paraId="0000000A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00B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00C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00D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0E35D944" w14:textId="77777777">
        <w:tc>
          <w:tcPr>
            <w:tcW w:w="2875" w:type="dxa"/>
          </w:tcPr>
          <w:p w14:paraId="0000000E" w14:textId="77777777" w:rsidR="006078F3" w:rsidRPr="001017B8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9"/>
              </w:tabs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Организирање на тематски состаноци поврзани со спроведени анализи на јавната политика која влијае на околината во која се развива граѓанското општество (покрај подолу наведените конкретни закони и политики предвидени за дискусија)</w:t>
            </w:r>
          </w:p>
        </w:tc>
        <w:tc>
          <w:tcPr>
            <w:tcW w:w="3060" w:type="dxa"/>
            <w:vMerge w:val="restart"/>
          </w:tcPr>
          <w:p w14:paraId="0000000F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10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Подобрена информираност, доставени предлози за политики што го унапредуваат граѓанското општество и навремено реагирање на политики што може да имаат негативно влијание врз соработката и развојот на ГО </w:t>
            </w:r>
          </w:p>
        </w:tc>
        <w:tc>
          <w:tcPr>
            <w:tcW w:w="2070" w:type="dxa"/>
          </w:tcPr>
          <w:p w14:paraId="00000011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По потреба (минимум две годишно) </w:t>
            </w:r>
          </w:p>
        </w:tc>
        <w:tc>
          <w:tcPr>
            <w:tcW w:w="1345" w:type="dxa"/>
          </w:tcPr>
          <w:p w14:paraId="00000012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280D5671" w14:textId="77777777">
        <w:tc>
          <w:tcPr>
            <w:tcW w:w="2875" w:type="dxa"/>
          </w:tcPr>
          <w:p w14:paraId="00000013" w14:textId="77777777" w:rsidR="006078F3" w:rsidRPr="001017B8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1189118169"/>
              </w:sdtPr>
              <w:sdtContent/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"/>
                <w:id w:val="-756342014"/>
              </w:sdtPr>
              <w:sdtContent/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2"/>
                <w:id w:val="371656023"/>
              </w:sdtPr>
              <w:sdtContent/>
            </w:sdt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Следење на годишни анализи на овозможувачката околина за развој на граѓанското општество (на пример: Годишен извештај од следењето на спроведувањето на Насоките за ЕУ поддршка за развој на ГО или Матрицата за мониторинг на овозможувачката околина за ГО) </w:t>
            </w:r>
          </w:p>
        </w:tc>
        <w:tc>
          <w:tcPr>
            <w:tcW w:w="3060" w:type="dxa"/>
            <w:vMerge/>
          </w:tcPr>
          <w:p w14:paraId="00000014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1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aприл – јуни 2026</w:t>
            </w:r>
          </w:p>
        </w:tc>
        <w:tc>
          <w:tcPr>
            <w:tcW w:w="1345" w:type="dxa"/>
          </w:tcPr>
          <w:p w14:paraId="0000001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22B9EA92" w14:textId="77777777">
        <w:tc>
          <w:tcPr>
            <w:tcW w:w="2875" w:type="dxa"/>
          </w:tcPr>
          <w:p w14:paraId="0000001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2.1. Идентификување на приоритетни прашања во однос на правната и институционална рамка за делување на организациите и поднесување иницијативи за измени на прописи врз основа на анализи и тематски состаноци</w:t>
            </w:r>
          </w:p>
        </w:tc>
        <w:tc>
          <w:tcPr>
            <w:tcW w:w="3060" w:type="dxa"/>
          </w:tcPr>
          <w:p w14:paraId="00000018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Предлог-иницијативи доставени до релевантните институции</w:t>
            </w:r>
          </w:p>
          <w:p w14:paraId="0000001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Вклучување на предлог-иницијативите во годишните програми за работа на Владата и/или релевантните политики или стратегии</w:t>
            </w:r>
          </w:p>
        </w:tc>
        <w:tc>
          <w:tcPr>
            <w:tcW w:w="2070" w:type="dxa"/>
          </w:tcPr>
          <w:p w14:paraId="0000001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 потреба врз основа на заклучоци на седниците на Советот</w:t>
            </w:r>
          </w:p>
        </w:tc>
        <w:tc>
          <w:tcPr>
            <w:tcW w:w="1345" w:type="dxa"/>
          </w:tcPr>
          <w:p w14:paraId="0000001B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020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586F1168" w14:textId="77777777">
        <w:tc>
          <w:tcPr>
            <w:tcW w:w="9350" w:type="dxa"/>
            <w:gridSpan w:val="4"/>
            <w:shd w:val="clear" w:color="auto" w:fill="C1E4F5"/>
          </w:tcPr>
          <w:p w14:paraId="00000021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022" w14:textId="77777777" w:rsidR="006078F3" w:rsidRPr="001017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"/>
              </w:tabs>
              <w:spacing w:after="160" w:line="259" w:lineRule="auto"/>
              <w:ind w:left="66" w:hanging="6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Давање мислење по предлози на закони, стратегии, програми и други правни акти кои се однесуваат или влијаат на развојот и на делувањето на граѓанското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3"/>
                <w:id w:val="-1671276469"/>
              </w:sdtPr>
              <w:sdtContent/>
            </w:sdt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општество</w:t>
            </w:r>
          </w:p>
        </w:tc>
      </w:tr>
      <w:tr w:rsidR="006078F3" w:rsidRPr="001017B8" w14:paraId="37FBA95C" w14:textId="77777777">
        <w:tc>
          <w:tcPr>
            <w:tcW w:w="2875" w:type="dxa"/>
            <w:shd w:val="clear" w:color="auto" w:fill="DAE9F7"/>
          </w:tcPr>
          <w:p w14:paraId="00000026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027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028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029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4C9CFB73" w14:textId="77777777">
        <w:tc>
          <w:tcPr>
            <w:tcW w:w="2875" w:type="dxa"/>
          </w:tcPr>
          <w:p w14:paraId="0000002A" w14:textId="77777777" w:rsidR="006078F3" w:rsidRPr="001017B8" w:rsidRDefault="0000000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4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Изготвување на препораки за рамката на измени на Законот за здруженија и фондации</w:t>
            </w:r>
          </w:p>
          <w:p w14:paraId="0000002B" w14:textId="77777777" w:rsidR="006078F3" w:rsidRPr="001017B8" w:rsidRDefault="0000000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4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Давање мислење на предлог измените и дополнувањата на Законот за здруженија и фондации</w:t>
            </w:r>
          </w:p>
        </w:tc>
        <w:tc>
          <w:tcPr>
            <w:tcW w:w="3060" w:type="dxa"/>
            <w:vMerge w:val="restart"/>
          </w:tcPr>
          <w:p w14:paraId="0000002C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2D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2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2F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30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31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Нормативно подобрување на околината во која се развива</w:t>
            </w:r>
          </w:p>
          <w:p w14:paraId="0000003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граѓанското општество; </w:t>
            </w:r>
          </w:p>
          <w:p w14:paraId="0000003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34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Усогласување на јавните политики со потребите на граѓанското општество</w:t>
            </w:r>
          </w:p>
        </w:tc>
        <w:tc>
          <w:tcPr>
            <w:tcW w:w="2070" w:type="dxa"/>
          </w:tcPr>
          <w:p w14:paraId="0000003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септември – октомври 2025 </w:t>
            </w:r>
          </w:p>
          <w:p w14:paraId="0000003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3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декември 2025 – јануари 2026 </w:t>
            </w:r>
          </w:p>
        </w:tc>
        <w:tc>
          <w:tcPr>
            <w:tcW w:w="1345" w:type="dxa"/>
          </w:tcPr>
          <w:p w14:paraId="0000003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3D673A20" w14:textId="77777777">
        <w:tc>
          <w:tcPr>
            <w:tcW w:w="2875" w:type="dxa"/>
          </w:tcPr>
          <w:p w14:paraId="0000003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3.2.1. Изготвување на препораки за рамката на измени Законот за референдум и други облици за непосредно изјаснување на граѓаните</w:t>
            </w:r>
          </w:p>
          <w:p w14:paraId="0000003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3.2.2. Давање мислење на предлог измените на Законот за референдум и други облици за непосредно изјаснување на граѓаните, со цел воведување можност за собирање потписи со користење на информатички средства</w:t>
            </w:r>
          </w:p>
        </w:tc>
        <w:tc>
          <w:tcPr>
            <w:tcW w:w="3060" w:type="dxa"/>
            <w:vMerge/>
          </w:tcPr>
          <w:p w14:paraId="0000003B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3C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jуни - септември 2026</w:t>
            </w:r>
          </w:p>
          <w:p w14:paraId="0000003D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3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3F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40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4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4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ноември – декември 2026</w:t>
            </w:r>
          </w:p>
        </w:tc>
        <w:tc>
          <w:tcPr>
            <w:tcW w:w="1345" w:type="dxa"/>
          </w:tcPr>
          <w:p w14:paraId="0000004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3C2DC52D" w14:textId="77777777">
        <w:tc>
          <w:tcPr>
            <w:tcW w:w="2875" w:type="dxa"/>
          </w:tcPr>
          <w:p w14:paraId="00000044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3.3.1. Изготвување на препораки за рамката за донесување на Закон за социјални претпријатија</w:t>
            </w:r>
          </w:p>
          <w:p w14:paraId="0000004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3.3.2. Давање мислење по предлог Законот за социјални претпријатија</w:t>
            </w:r>
          </w:p>
        </w:tc>
        <w:tc>
          <w:tcPr>
            <w:tcW w:w="3060" w:type="dxa"/>
            <w:vMerge/>
          </w:tcPr>
          <w:p w14:paraId="00000046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4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ноември 2025 – јануари 2026</w:t>
            </w:r>
          </w:p>
          <w:p w14:paraId="0000004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49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4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април – јуни 2026</w:t>
            </w:r>
          </w:p>
        </w:tc>
        <w:tc>
          <w:tcPr>
            <w:tcW w:w="1345" w:type="dxa"/>
          </w:tcPr>
          <w:p w14:paraId="0000004B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42F22A3C" w14:textId="77777777">
        <w:tc>
          <w:tcPr>
            <w:tcW w:w="2875" w:type="dxa"/>
          </w:tcPr>
          <w:p w14:paraId="0000004C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3.4.1. Изготвување на препораки за рамката на измени на Законот за донации и спонзорства во јавните дејности</w:t>
            </w:r>
          </w:p>
          <w:p w14:paraId="0000004D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3.4.2. Давање мислење по предлог Законот за донации и спонзорства во јавните дејности</w:t>
            </w:r>
          </w:p>
        </w:tc>
        <w:tc>
          <w:tcPr>
            <w:tcW w:w="3060" w:type="dxa"/>
            <w:vMerge/>
          </w:tcPr>
          <w:p w14:paraId="0000004E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4F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октомври – ноември 2025</w:t>
            </w:r>
          </w:p>
          <w:p w14:paraId="00000050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5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5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јануари – март 2026</w:t>
            </w:r>
          </w:p>
        </w:tc>
        <w:tc>
          <w:tcPr>
            <w:tcW w:w="1345" w:type="dxa"/>
          </w:tcPr>
          <w:p w14:paraId="0000005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5F4B264C" w14:textId="77777777">
        <w:tc>
          <w:tcPr>
            <w:tcW w:w="2875" w:type="dxa"/>
          </w:tcPr>
          <w:p w14:paraId="00000054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3.5.1. Изготвување на препораки за рамката на измени на Законот за волонтерство</w:t>
            </w:r>
          </w:p>
          <w:p w14:paraId="0000005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3.5.2. Давање мислење по предлог измените на Законот за волонтерство</w:t>
            </w:r>
          </w:p>
        </w:tc>
        <w:tc>
          <w:tcPr>
            <w:tcW w:w="3060" w:type="dxa"/>
            <w:vMerge/>
          </w:tcPr>
          <w:p w14:paraId="00000056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5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ноември – декември 2025</w:t>
            </w:r>
          </w:p>
          <w:p w14:paraId="0000005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59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5A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5B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март – мај 2026</w:t>
            </w:r>
          </w:p>
        </w:tc>
        <w:tc>
          <w:tcPr>
            <w:tcW w:w="1345" w:type="dxa"/>
          </w:tcPr>
          <w:p w14:paraId="0000005C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61091E07" w14:textId="77777777">
        <w:tc>
          <w:tcPr>
            <w:tcW w:w="2875" w:type="dxa"/>
          </w:tcPr>
          <w:p w14:paraId="0000005D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3.6. Учество на јавни дебати и консултации по релевантни закони и политики</w:t>
            </w:r>
          </w:p>
        </w:tc>
        <w:tc>
          <w:tcPr>
            <w:tcW w:w="3060" w:type="dxa"/>
          </w:tcPr>
          <w:p w14:paraId="0000005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5F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Во текот на целата година </w:t>
            </w:r>
          </w:p>
        </w:tc>
        <w:tc>
          <w:tcPr>
            <w:tcW w:w="1345" w:type="dxa"/>
          </w:tcPr>
          <w:p w14:paraId="00000060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061" w14:textId="77777777" w:rsidR="006078F3" w:rsidRPr="001017B8" w:rsidRDefault="006078F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35D1EC61" w14:textId="77777777">
        <w:tc>
          <w:tcPr>
            <w:tcW w:w="9350" w:type="dxa"/>
            <w:gridSpan w:val="4"/>
            <w:shd w:val="clear" w:color="auto" w:fill="C1E4F5"/>
          </w:tcPr>
          <w:p w14:paraId="00000062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063" w14:textId="77777777" w:rsidR="006078F3" w:rsidRPr="001017B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Подигање на свеста за промовирање на култура на соработка и партнерство</w:t>
            </w:r>
          </w:p>
        </w:tc>
      </w:tr>
      <w:tr w:rsidR="006078F3" w:rsidRPr="001017B8" w14:paraId="5166060D" w14:textId="77777777">
        <w:tc>
          <w:tcPr>
            <w:tcW w:w="2875" w:type="dxa"/>
            <w:shd w:val="clear" w:color="auto" w:fill="DAE9F7"/>
          </w:tcPr>
          <w:p w14:paraId="00000067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068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069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06A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5202FF22" w14:textId="77777777">
        <w:tc>
          <w:tcPr>
            <w:tcW w:w="2875" w:type="dxa"/>
          </w:tcPr>
          <w:p w14:paraId="0000006B" w14:textId="77777777" w:rsidR="006078F3" w:rsidRPr="001017B8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Организирање на најмалку 3 настани за промоција на учество и соработка (дебати, годишен форум, јавни дискусии, постојани комитети за одредени теми итн.)</w:t>
            </w:r>
          </w:p>
        </w:tc>
        <w:tc>
          <w:tcPr>
            <w:tcW w:w="3060" w:type="dxa"/>
          </w:tcPr>
          <w:p w14:paraId="0000006C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Подобрена видливост и доверба во Советот</w:t>
            </w:r>
          </w:p>
          <w:p w14:paraId="0000006D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6E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Подобрена информираност на ГО и на институциите за работата на Советот и потребата од взаемна соработка</w:t>
            </w:r>
          </w:p>
        </w:tc>
        <w:tc>
          <w:tcPr>
            <w:tcW w:w="2070" w:type="dxa"/>
          </w:tcPr>
          <w:p w14:paraId="717905C8" w14:textId="1B0B5BDF" w:rsidR="006078F3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Годишен форум- ноември 2026</w:t>
            </w:r>
          </w:p>
          <w:p w14:paraId="0000006F" w14:textId="334D8285" w:rsidR="00061FDF" w:rsidRPr="001017B8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Два настани во првото и третото тромесечје од 2026</w:t>
            </w:r>
          </w:p>
        </w:tc>
        <w:tc>
          <w:tcPr>
            <w:tcW w:w="1345" w:type="dxa"/>
          </w:tcPr>
          <w:p w14:paraId="00000070" w14:textId="7DA53C3A" w:rsidR="006078F3" w:rsidRPr="00061FDF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450.000 </w:t>
            </w:r>
            <w:r>
              <w:rPr>
                <w:rFonts w:ascii="Arial" w:hAnsi="Arial" w:cs="Arial"/>
                <w:sz w:val="20"/>
                <w:szCs w:val="20"/>
              </w:rPr>
              <w:t>ден.</w:t>
            </w:r>
          </w:p>
        </w:tc>
      </w:tr>
      <w:tr w:rsidR="006078F3" w:rsidRPr="001017B8" w14:paraId="51DBBCC8" w14:textId="77777777">
        <w:tc>
          <w:tcPr>
            <w:tcW w:w="2875" w:type="dxa"/>
          </w:tcPr>
          <w:p w14:paraId="00000071" w14:textId="77777777" w:rsidR="006078F3" w:rsidRPr="001017B8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4"/>
                <w:id w:val="-284607735"/>
              </w:sdtPr>
              <w:sdtContent/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-1311620004"/>
              </w:sdtPr>
              <w:sdtContent/>
            </w:sdt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Кампања за информирање на граѓански организации за улогата на Советот</w:t>
            </w:r>
          </w:p>
          <w:p w14:paraId="00000072" w14:textId="77777777" w:rsidR="006078F3" w:rsidRPr="001017B8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Информативни средби со ГО во секој плански регион</w:t>
            </w:r>
          </w:p>
        </w:tc>
        <w:tc>
          <w:tcPr>
            <w:tcW w:w="3060" w:type="dxa"/>
          </w:tcPr>
          <w:p w14:paraId="0000007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Подобрена информираност на ГО и нивно вклучување во работата на Советот</w:t>
            </w:r>
          </w:p>
        </w:tc>
        <w:tc>
          <w:tcPr>
            <w:tcW w:w="2070" w:type="dxa"/>
          </w:tcPr>
          <w:p w14:paraId="0000007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75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7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77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78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ноември 2025 – февруари 2026</w:t>
            </w:r>
          </w:p>
          <w:p w14:paraId="00000079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07A" w14:textId="1DC524B8" w:rsidR="006078F3" w:rsidRPr="001017B8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 ден.</w:t>
            </w:r>
          </w:p>
        </w:tc>
      </w:tr>
      <w:tr w:rsidR="006078F3" w:rsidRPr="001017B8" w14:paraId="75E61FD7" w14:textId="77777777">
        <w:tc>
          <w:tcPr>
            <w:tcW w:w="2875" w:type="dxa"/>
          </w:tcPr>
          <w:p w14:paraId="0000007B" w14:textId="77777777" w:rsidR="006078F3" w:rsidRPr="001017B8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Изработка и дистрибуција на информативни материјали</w:t>
            </w:r>
          </w:p>
        </w:tc>
        <w:tc>
          <w:tcPr>
            <w:tcW w:w="3060" w:type="dxa"/>
          </w:tcPr>
          <w:p w14:paraId="0000007C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7D" w14:textId="33ED3CA1" w:rsidR="006078F3" w:rsidRPr="001017B8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потреба во текот на годината</w:t>
            </w:r>
          </w:p>
        </w:tc>
        <w:tc>
          <w:tcPr>
            <w:tcW w:w="1345" w:type="dxa"/>
          </w:tcPr>
          <w:p w14:paraId="0000007E" w14:textId="72EFDD78" w:rsidR="006078F3" w:rsidRPr="001017B8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 ден.</w:t>
            </w:r>
          </w:p>
        </w:tc>
      </w:tr>
      <w:tr w:rsidR="006078F3" w:rsidRPr="001017B8" w14:paraId="18607D7C" w14:textId="77777777">
        <w:tc>
          <w:tcPr>
            <w:tcW w:w="2875" w:type="dxa"/>
          </w:tcPr>
          <w:p w14:paraId="0000007F" w14:textId="77777777" w:rsidR="006078F3" w:rsidRPr="001017B8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Презентирање на работата на Советот и важноста од поволна средина за ГО пред пратениците во Собранието на РСМ </w:t>
            </w:r>
          </w:p>
        </w:tc>
        <w:tc>
          <w:tcPr>
            <w:tcW w:w="3060" w:type="dxa"/>
          </w:tcPr>
          <w:p w14:paraId="00000080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Подобрена видливост и доверба во Советот</w:t>
            </w:r>
          </w:p>
          <w:p w14:paraId="0000008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8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Подобрена информираност на Собранието за работата на Советот и потребата од взаемна соработка во унапредување на средината за работа на ГО</w:t>
            </w:r>
          </w:p>
        </w:tc>
        <w:tc>
          <w:tcPr>
            <w:tcW w:w="2070" w:type="dxa"/>
          </w:tcPr>
          <w:p w14:paraId="0000008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февруари 2026</w:t>
            </w:r>
          </w:p>
        </w:tc>
        <w:tc>
          <w:tcPr>
            <w:tcW w:w="1345" w:type="dxa"/>
          </w:tcPr>
          <w:p w14:paraId="00000084" w14:textId="40C44B92" w:rsidR="006078F3" w:rsidRPr="001017B8" w:rsidRDefault="0006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потреба патни трошоци</w:t>
            </w:r>
          </w:p>
        </w:tc>
      </w:tr>
      <w:tr w:rsidR="006078F3" w:rsidRPr="001017B8" w14:paraId="48BAB39F" w14:textId="77777777">
        <w:tc>
          <w:tcPr>
            <w:tcW w:w="2875" w:type="dxa"/>
          </w:tcPr>
          <w:p w14:paraId="0000008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Да се дополни согласно стратегијата за комуникации на Советот</w:t>
            </w:r>
          </w:p>
        </w:tc>
        <w:tc>
          <w:tcPr>
            <w:tcW w:w="3060" w:type="dxa"/>
          </w:tcPr>
          <w:p w14:paraId="0000008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87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08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08D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66277205" w14:textId="77777777">
        <w:tc>
          <w:tcPr>
            <w:tcW w:w="9350" w:type="dxa"/>
            <w:gridSpan w:val="4"/>
            <w:shd w:val="clear" w:color="auto" w:fill="C1E4F5"/>
          </w:tcPr>
          <w:p w14:paraId="0000008E" w14:textId="77777777" w:rsidR="006078F3" w:rsidRPr="001017B8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08F" w14:textId="77777777" w:rsidR="006078F3" w:rsidRPr="001017B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Учество во подготовка и следење на Стратегијата на Владата за соработка со и развој на граѓанското општество и Акцискиот план за спроведување на Стратегијата</w:t>
            </w:r>
          </w:p>
          <w:p w14:paraId="00000090" w14:textId="77777777" w:rsidR="006078F3" w:rsidRPr="001017B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Давање на годишно мислење на реализацијата на Стратегијата во 2025</w:t>
            </w:r>
          </w:p>
        </w:tc>
      </w:tr>
      <w:tr w:rsidR="006078F3" w:rsidRPr="001017B8" w14:paraId="124E28E6" w14:textId="77777777">
        <w:tc>
          <w:tcPr>
            <w:tcW w:w="2875" w:type="dxa"/>
            <w:shd w:val="clear" w:color="auto" w:fill="DAE9F7"/>
          </w:tcPr>
          <w:p w14:paraId="00000094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095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096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097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5B83B56D" w14:textId="77777777">
        <w:tc>
          <w:tcPr>
            <w:tcW w:w="2875" w:type="dxa"/>
          </w:tcPr>
          <w:p w14:paraId="00000098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5.1. Обезбедување поддршка при изготвување на показателите за следење на спроведувањето на Стратегијата и Акцискиот план </w:t>
            </w:r>
          </w:p>
        </w:tc>
        <w:tc>
          <w:tcPr>
            <w:tcW w:w="3060" w:type="dxa"/>
            <w:vMerge w:val="restart"/>
          </w:tcPr>
          <w:p w14:paraId="0000009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Ефективно и отчетно спроведување на Стратегијата со и развој на граѓанското општество </w:t>
            </w:r>
          </w:p>
        </w:tc>
        <w:tc>
          <w:tcPr>
            <w:tcW w:w="2070" w:type="dxa"/>
          </w:tcPr>
          <w:p w14:paraId="0000009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октомври - ноември 2025</w:t>
            </w:r>
          </w:p>
        </w:tc>
        <w:tc>
          <w:tcPr>
            <w:tcW w:w="1345" w:type="dxa"/>
          </w:tcPr>
          <w:p w14:paraId="0000009B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66D40770" w14:textId="77777777">
        <w:tc>
          <w:tcPr>
            <w:tcW w:w="2875" w:type="dxa"/>
          </w:tcPr>
          <w:p w14:paraId="0000009C" w14:textId="77777777" w:rsidR="006078F3" w:rsidRPr="001017B8" w:rsidRDefault="0000000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6"/>
              </w:tabs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Разгледување на 4 квартални извештаи за спроведување на Стратегијата и давање </w:t>
            </w: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мислење со предлози за подобрување на спроведувањето</w:t>
            </w:r>
          </w:p>
        </w:tc>
        <w:tc>
          <w:tcPr>
            <w:tcW w:w="3060" w:type="dxa"/>
            <w:vMerge/>
          </w:tcPr>
          <w:p w14:paraId="0000009D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9E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Квартално</w:t>
            </w:r>
          </w:p>
        </w:tc>
        <w:tc>
          <w:tcPr>
            <w:tcW w:w="1345" w:type="dxa"/>
          </w:tcPr>
          <w:p w14:paraId="0000009F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6F2E42A7" w14:textId="77777777">
        <w:tc>
          <w:tcPr>
            <w:tcW w:w="2875" w:type="dxa"/>
          </w:tcPr>
          <w:p w14:paraId="000000A0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36" w:hanging="27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Давање на годишно мислење на реализацијата на Стратегијата во 2025</w:t>
            </w:r>
          </w:p>
          <w:p w14:paraId="000000A1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36" w:hanging="27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Последователни активности за постапување по мислењето на Советот (состаноци со институции, информација од релевантните институции и сл.) </w:t>
            </w:r>
          </w:p>
        </w:tc>
        <w:tc>
          <w:tcPr>
            <w:tcW w:w="3060" w:type="dxa"/>
            <w:vMerge/>
          </w:tcPr>
          <w:p w14:paraId="000000A2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A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јануари 2026</w:t>
            </w:r>
          </w:p>
          <w:p w14:paraId="000000A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A5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A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A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февруари – април 2026</w:t>
            </w:r>
          </w:p>
        </w:tc>
        <w:tc>
          <w:tcPr>
            <w:tcW w:w="1345" w:type="dxa"/>
          </w:tcPr>
          <w:p w14:paraId="000000A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0B1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11FAF06C" w14:textId="77777777">
        <w:tc>
          <w:tcPr>
            <w:tcW w:w="9350" w:type="dxa"/>
            <w:gridSpan w:val="4"/>
            <w:shd w:val="clear" w:color="auto" w:fill="C1E4F5"/>
          </w:tcPr>
          <w:p w14:paraId="000000B2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0B3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Следење и анализа на вклученоста на организациите во процесот на креирање на јавната политика </w:t>
            </w:r>
          </w:p>
        </w:tc>
      </w:tr>
      <w:tr w:rsidR="006078F3" w:rsidRPr="001017B8" w14:paraId="62E608F8" w14:textId="77777777">
        <w:tc>
          <w:tcPr>
            <w:tcW w:w="2875" w:type="dxa"/>
            <w:shd w:val="clear" w:color="auto" w:fill="DAE9F7"/>
          </w:tcPr>
          <w:p w14:paraId="000000B7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0B8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0B9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0BA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2DF2F29A" w14:textId="77777777">
        <w:tc>
          <w:tcPr>
            <w:tcW w:w="2875" w:type="dxa"/>
          </w:tcPr>
          <w:p w14:paraId="000000BB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6.1. Анализа на извештаите од органите на државната управа за вклученоста на организациите во процесот на креирање политики</w:t>
            </w:r>
          </w:p>
        </w:tc>
        <w:tc>
          <w:tcPr>
            <w:tcW w:w="3060" w:type="dxa"/>
          </w:tcPr>
          <w:p w14:paraId="000000BC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Зголемено и поквалитетно учество на граѓанските организации во креирањето политики</w:t>
            </w:r>
          </w:p>
        </w:tc>
        <w:tc>
          <w:tcPr>
            <w:tcW w:w="2070" w:type="dxa"/>
          </w:tcPr>
          <w:p w14:paraId="000000BD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март – април 2026</w:t>
            </w:r>
          </w:p>
        </w:tc>
        <w:tc>
          <w:tcPr>
            <w:tcW w:w="1345" w:type="dxa"/>
          </w:tcPr>
          <w:p w14:paraId="000000B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5C51D5FC" w14:textId="77777777">
        <w:tc>
          <w:tcPr>
            <w:tcW w:w="2875" w:type="dxa"/>
          </w:tcPr>
          <w:p w14:paraId="000000BF" w14:textId="77777777" w:rsidR="006078F3" w:rsidRPr="001017B8" w:rsidRDefault="00000000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6"/>
              </w:tabs>
              <w:spacing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Поднесување на препораки за унапредување на процесите</w:t>
            </w:r>
          </w:p>
          <w:p w14:paraId="000000C0" w14:textId="77777777" w:rsidR="006078F3" w:rsidRPr="001017B8" w:rsidRDefault="00000000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6"/>
              </w:tabs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Поднесување на препораки и мислења за вклучувањето на ГО во носење на конкретни политики по информации доставени од ГО</w:t>
            </w:r>
          </w:p>
        </w:tc>
        <w:tc>
          <w:tcPr>
            <w:tcW w:w="3060" w:type="dxa"/>
          </w:tcPr>
          <w:p w14:paraId="000000C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C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март – април 2026</w:t>
            </w:r>
          </w:p>
          <w:p w14:paraId="000000C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C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C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Тековно, по потреба</w:t>
            </w:r>
          </w:p>
        </w:tc>
        <w:tc>
          <w:tcPr>
            <w:tcW w:w="1345" w:type="dxa"/>
          </w:tcPr>
          <w:p w14:paraId="000000C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4A8B0ECB" w14:textId="77777777">
        <w:tc>
          <w:tcPr>
            <w:tcW w:w="2875" w:type="dxa"/>
          </w:tcPr>
          <w:p w14:paraId="000000C7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Учество на јавни настани за вклученоста на граѓанските организации во носењето одлуки</w:t>
            </w:r>
          </w:p>
        </w:tc>
        <w:tc>
          <w:tcPr>
            <w:tcW w:w="3060" w:type="dxa"/>
          </w:tcPr>
          <w:p w14:paraId="000000C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C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Минимум еден настан годишно</w:t>
            </w:r>
          </w:p>
        </w:tc>
        <w:tc>
          <w:tcPr>
            <w:tcW w:w="1345" w:type="dxa"/>
          </w:tcPr>
          <w:p w14:paraId="000000CA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0D3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p w14:paraId="000000D4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038327F2" w14:textId="77777777">
        <w:tc>
          <w:tcPr>
            <w:tcW w:w="9350" w:type="dxa"/>
            <w:gridSpan w:val="4"/>
            <w:shd w:val="clear" w:color="auto" w:fill="C1E4F5"/>
          </w:tcPr>
          <w:p w14:paraId="000000D5" w14:textId="77777777" w:rsidR="006078F3" w:rsidRPr="001017B8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0D6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Давање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Македонија, врз основа на елаборирана секторска анализа на надлежните органи на државната управа. </w:t>
            </w:r>
          </w:p>
          <w:p w14:paraId="000000D7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Разгледување на годишните извештаи на Владата и органите на државната управа за финансираните програми и проекти на организациите и давање препораки</w:t>
            </w:r>
          </w:p>
        </w:tc>
      </w:tr>
      <w:tr w:rsidR="006078F3" w:rsidRPr="001017B8" w14:paraId="59A01055" w14:textId="77777777">
        <w:tc>
          <w:tcPr>
            <w:tcW w:w="2875" w:type="dxa"/>
            <w:shd w:val="clear" w:color="auto" w:fill="DAE9F7"/>
          </w:tcPr>
          <w:p w14:paraId="000000DB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0DC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0DD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0DE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6C9F672A" w14:textId="77777777">
        <w:tc>
          <w:tcPr>
            <w:tcW w:w="2875" w:type="dxa"/>
          </w:tcPr>
          <w:p w14:paraId="000000DF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8.1. Анализа на приоритетни области и давање предлози за буџетско планирање</w:t>
            </w:r>
          </w:p>
        </w:tc>
        <w:tc>
          <w:tcPr>
            <w:tcW w:w="3060" w:type="dxa"/>
            <w:vMerge w:val="restart"/>
          </w:tcPr>
          <w:p w14:paraId="000000E0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E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E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Потранспарентно, поотчетно и поефективно користење на јавни средства за ГО</w:t>
            </w:r>
          </w:p>
        </w:tc>
        <w:tc>
          <w:tcPr>
            <w:tcW w:w="2070" w:type="dxa"/>
          </w:tcPr>
          <w:p w14:paraId="000000E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0E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3A45B1BE" w14:textId="77777777">
        <w:tc>
          <w:tcPr>
            <w:tcW w:w="2875" w:type="dxa"/>
          </w:tcPr>
          <w:p w14:paraId="000000E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8.2. Давање мислење и препораки за воспоставување на гарантен фонд за финансиска поддршка на граѓански организации</w:t>
            </w:r>
          </w:p>
        </w:tc>
        <w:tc>
          <w:tcPr>
            <w:tcW w:w="3060" w:type="dxa"/>
            <w:vMerge/>
          </w:tcPr>
          <w:p w14:paraId="000000E6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E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јануари – мај 2026</w:t>
            </w:r>
          </w:p>
        </w:tc>
        <w:tc>
          <w:tcPr>
            <w:tcW w:w="1345" w:type="dxa"/>
          </w:tcPr>
          <w:p w14:paraId="000000E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1EC086B0" w14:textId="77777777">
        <w:tc>
          <w:tcPr>
            <w:tcW w:w="2875" w:type="dxa"/>
          </w:tcPr>
          <w:p w14:paraId="000000E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8.3.1. Давање мислење за досегашната примена на Кодексот на добри практики за финансиска поддршка на здруженијата на граѓани и фондациите и процесите што се применуваат во пракса.</w:t>
            </w:r>
          </w:p>
          <w:p w14:paraId="000000E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8.3. Иницирање на трансформирањето на Кодексот на добри практики за финансиска поддршка на здруженијата на граѓани и фондациите во хоризонтален правно обврзувачки акт и давање препораки за ревидирање на одредбите за планирање на средствата</w:t>
            </w:r>
          </w:p>
        </w:tc>
        <w:tc>
          <w:tcPr>
            <w:tcW w:w="3060" w:type="dxa"/>
            <w:vMerge/>
          </w:tcPr>
          <w:p w14:paraId="000000EB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EC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ED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септември – октомври 2025</w:t>
            </w:r>
          </w:p>
          <w:p w14:paraId="000000E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EF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F0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F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F2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F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F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0F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јануари – јуни 2026</w:t>
            </w:r>
          </w:p>
        </w:tc>
        <w:tc>
          <w:tcPr>
            <w:tcW w:w="1345" w:type="dxa"/>
          </w:tcPr>
          <w:p w14:paraId="000000F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5AFBDE69" w14:textId="77777777">
        <w:tc>
          <w:tcPr>
            <w:tcW w:w="2875" w:type="dxa"/>
          </w:tcPr>
          <w:p w14:paraId="000000F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9.1 Разгледување на годишните извештаи за финансирани програми</w:t>
            </w:r>
          </w:p>
          <w:p w14:paraId="000000F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000000F9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0F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февруари 2026</w:t>
            </w:r>
          </w:p>
        </w:tc>
        <w:tc>
          <w:tcPr>
            <w:tcW w:w="1345" w:type="dxa"/>
          </w:tcPr>
          <w:p w14:paraId="000000FB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0B903F22" w14:textId="77777777">
        <w:tc>
          <w:tcPr>
            <w:tcW w:w="2875" w:type="dxa"/>
          </w:tcPr>
          <w:p w14:paraId="000000FC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9.1.1 Поднесување препораки за унапредување на финансирањето</w:t>
            </w:r>
          </w:p>
          <w:p w14:paraId="000000FD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9.1.2. Последователни активности за следење на постапувањето по препораките</w:t>
            </w:r>
          </w:p>
          <w:p w14:paraId="000000F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000000FF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00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февруари – март 2026</w:t>
            </w:r>
          </w:p>
          <w:p w14:paraId="0000010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102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010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април – јуни 2026</w:t>
            </w:r>
          </w:p>
        </w:tc>
        <w:tc>
          <w:tcPr>
            <w:tcW w:w="1345" w:type="dxa"/>
          </w:tcPr>
          <w:p w14:paraId="0000010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105" w14:textId="77777777" w:rsidR="006078F3" w:rsidRPr="001017B8" w:rsidRDefault="006078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37D2BECA" w14:textId="77777777">
        <w:tc>
          <w:tcPr>
            <w:tcW w:w="9350" w:type="dxa"/>
            <w:gridSpan w:val="4"/>
            <w:shd w:val="clear" w:color="auto" w:fill="C1E4F5"/>
          </w:tcPr>
          <w:p w14:paraId="00000106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107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Постапување по предлози и иницијативи од граѓанските организации по прашања поврзани со овозможувачка средина за организациите</w:t>
            </w:r>
          </w:p>
        </w:tc>
      </w:tr>
      <w:tr w:rsidR="006078F3" w:rsidRPr="001017B8" w14:paraId="2AEE1125" w14:textId="77777777">
        <w:tc>
          <w:tcPr>
            <w:tcW w:w="2875" w:type="dxa"/>
            <w:shd w:val="clear" w:color="auto" w:fill="DAE9F7"/>
          </w:tcPr>
          <w:p w14:paraId="0000010B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10C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10D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10E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0A14700B" w14:textId="77777777">
        <w:tc>
          <w:tcPr>
            <w:tcW w:w="2875" w:type="dxa"/>
          </w:tcPr>
          <w:p w14:paraId="0000010F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5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Отворање канал за директна комуникација (е-пошта, формулар) за прибирање на </w:t>
            </w: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иницијативи од граѓанските организации</w:t>
            </w:r>
          </w:p>
        </w:tc>
        <w:tc>
          <w:tcPr>
            <w:tcW w:w="3060" w:type="dxa"/>
          </w:tcPr>
          <w:p w14:paraId="00000110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lastRenderedPageBreak/>
              <w:t>Поголема отвореност и вклученост на ГО во работата на Советот</w:t>
            </w:r>
          </w:p>
        </w:tc>
        <w:tc>
          <w:tcPr>
            <w:tcW w:w="2070" w:type="dxa"/>
          </w:tcPr>
          <w:p w14:paraId="00000111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декември 2025</w:t>
            </w:r>
          </w:p>
        </w:tc>
        <w:tc>
          <w:tcPr>
            <w:tcW w:w="1345" w:type="dxa"/>
          </w:tcPr>
          <w:p w14:paraId="00000112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4D1B00EE" w14:textId="77777777">
        <w:tc>
          <w:tcPr>
            <w:tcW w:w="2875" w:type="dxa"/>
          </w:tcPr>
          <w:p w14:paraId="00000113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5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Разгледување на доставени иницијативи и предлози од ГО</w:t>
            </w:r>
          </w:p>
        </w:tc>
        <w:tc>
          <w:tcPr>
            <w:tcW w:w="3060" w:type="dxa"/>
          </w:tcPr>
          <w:p w14:paraId="0000011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1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По потреба</w:t>
            </w:r>
          </w:p>
        </w:tc>
        <w:tc>
          <w:tcPr>
            <w:tcW w:w="1345" w:type="dxa"/>
          </w:tcPr>
          <w:p w14:paraId="00000116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1FFF8760" w14:textId="77777777">
        <w:tc>
          <w:tcPr>
            <w:tcW w:w="2875" w:type="dxa"/>
          </w:tcPr>
          <w:p w14:paraId="00000117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5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Формулирање на ставови и препораки за релевантните институции</w:t>
            </w:r>
          </w:p>
        </w:tc>
        <w:tc>
          <w:tcPr>
            <w:tcW w:w="3060" w:type="dxa"/>
          </w:tcPr>
          <w:p w14:paraId="0000011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1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По потреба </w:t>
            </w:r>
          </w:p>
        </w:tc>
        <w:tc>
          <w:tcPr>
            <w:tcW w:w="1345" w:type="dxa"/>
          </w:tcPr>
          <w:p w14:paraId="0000011A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127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060CCAC5" w14:textId="77777777">
        <w:tc>
          <w:tcPr>
            <w:tcW w:w="9350" w:type="dxa"/>
            <w:gridSpan w:val="4"/>
            <w:shd w:val="clear" w:color="auto" w:fill="C1E4F5"/>
          </w:tcPr>
          <w:p w14:paraId="00000128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  <w:p w14:paraId="00000129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Номинации на претставници на граѓанското општество во советодавни и работни тела</w:t>
            </w:r>
          </w:p>
        </w:tc>
      </w:tr>
      <w:tr w:rsidR="006078F3" w:rsidRPr="001017B8" w14:paraId="33CB9353" w14:textId="77777777">
        <w:tc>
          <w:tcPr>
            <w:tcW w:w="2875" w:type="dxa"/>
            <w:shd w:val="clear" w:color="auto" w:fill="DAE9F7"/>
          </w:tcPr>
          <w:p w14:paraId="0000012D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12E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12F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130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23DFB3FE" w14:textId="77777777">
        <w:tc>
          <w:tcPr>
            <w:tcW w:w="2875" w:type="dxa"/>
          </w:tcPr>
          <w:p w14:paraId="00000131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Следење на постапките за објавување на јавни повици за номинирање на претставници и навремено споделување на повиците со ГО</w:t>
            </w:r>
          </w:p>
        </w:tc>
        <w:tc>
          <w:tcPr>
            <w:tcW w:w="3060" w:type="dxa"/>
            <w:vMerge w:val="restart"/>
          </w:tcPr>
          <w:p w14:paraId="0000013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Транспарентно и објективно номинирање на претставницни на ГО го советодавни и работни тела</w:t>
            </w:r>
          </w:p>
          <w:p w14:paraId="0000013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Зголемено влијание на ГО во креирање политики </w:t>
            </w:r>
          </w:p>
        </w:tc>
        <w:tc>
          <w:tcPr>
            <w:tcW w:w="2070" w:type="dxa"/>
          </w:tcPr>
          <w:p w14:paraId="00000134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Континуирано </w:t>
            </w:r>
          </w:p>
        </w:tc>
        <w:tc>
          <w:tcPr>
            <w:tcW w:w="1345" w:type="dxa"/>
          </w:tcPr>
          <w:p w14:paraId="00000135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5808CCC5" w14:textId="77777777">
        <w:tc>
          <w:tcPr>
            <w:tcW w:w="2875" w:type="dxa"/>
          </w:tcPr>
          <w:p w14:paraId="00000136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Објективна селекција</w:t>
            </w:r>
          </w:p>
        </w:tc>
        <w:tc>
          <w:tcPr>
            <w:tcW w:w="3060" w:type="dxa"/>
            <w:vMerge/>
          </w:tcPr>
          <w:p w14:paraId="00000137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3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139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64A495EE" w14:textId="77777777">
        <w:tc>
          <w:tcPr>
            <w:tcW w:w="2875" w:type="dxa"/>
          </w:tcPr>
          <w:p w14:paraId="0000013A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firstLine="0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Транспарентна објава на номинациите</w:t>
            </w:r>
          </w:p>
        </w:tc>
        <w:tc>
          <w:tcPr>
            <w:tcW w:w="3060" w:type="dxa"/>
            <w:vMerge/>
          </w:tcPr>
          <w:p w14:paraId="0000013B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3C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13D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146" w14:textId="77777777" w:rsidR="006078F3" w:rsidRPr="001017B8" w:rsidRDefault="006078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740BCC68" w14:textId="77777777">
        <w:tc>
          <w:tcPr>
            <w:tcW w:w="9350" w:type="dxa"/>
            <w:gridSpan w:val="4"/>
            <w:shd w:val="clear" w:color="auto" w:fill="C1E4F5"/>
          </w:tcPr>
          <w:p w14:paraId="00000147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  <w:u w:val="single"/>
              </w:rPr>
              <w:t>Надлежност на Советот</w:t>
            </w: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0000148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Усвојување на Годишен извештај за работата на Советот со соработка меѓу Владата и граѓанското општество и достава до Владата и јавноста за информирање</w:t>
            </w:r>
          </w:p>
        </w:tc>
      </w:tr>
      <w:tr w:rsidR="006078F3" w:rsidRPr="001017B8" w14:paraId="03ADB73C" w14:textId="77777777">
        <w:tc>
          <w:tcPr>
            <w:tcW w:w="2875" w:type="dxa"/>
            <w:shd w:val="clear" w:color="auto" w:fill="DAE9F7"/>
          </w:tcPr>
          <w:p w14:paraId="0000014C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14D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14E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14F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3A5B193E" w14:textId="77777777">
        <w:tc>
          <w:tcPr>
            <w:tcW w:w="2875" w:type="dxa"/>
          </w:tcPr>
          <w:p w14:paraId="00000150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12.1 Разгледување и усвојување на Годишниот извештај за работата на Советот</w:t>
            </w:r>
          </w:p>
        </w:tc>
        <w:tc>
          <w:tcPr>
            <w:tcW w:w="3060" w:type="dxa"/>
          </w:tcPr>
          <w:p w14:paraId="00000151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Усвоен Годишен извештај за работата на Советот </w:t>
            </w:r>
          </w:p>
        </w:tc>
        <w:tc>
          <w:tcPr>
            <w:tcW w:w="2070" w:type="dxa"/>
          </w:tcPr>
          <w:p w14:paraId="0000015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февруари 2026</w:t>
            </w:r>
          </w:p>
        </w:tc>
        <w:tc>
          <w:tcPr>
            <w:tcW w:w="1345" w:type="dxa"/>
          </w:tcPr>
          <w:p w14:paraId="0000015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6078F3" w:rsidRPr="001017B8" w14:paraId="53E42BF3" w14:textId="77777777">
        <w:tc>
          <w:tcPr>
            <w:tcW w:w="2875" w:type="dxa"/>
          </w:tcPr>
          <w:p w14:paraId="00000154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12.2. Годишен состанок со владини претставници на повисоко ниво за постигнувањата на Советот</w:t>
            </w:r>
          </w:p>
        </w:tc>
        <w:tc>
          <w:tcPr>
            <w:tcW w:w="3060" w:type="dxa"/>
          </w:tcPr>
          <w:p w14:paraId="00000155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Информирање на Владата за важноста на Советот и унапредување на соработката</w:t>
            </w:r>
          </w:p>
          <w:p w14:paraId="00000156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Идентификување на теми за дијалог и унапредување за следната година</w:t>
            </w:r>
          </w:p>
        </w:tc>
        <w:tc>
          <w:tcPr>
            <w:tcW w:w="2070" w:type="dxa"/>
          </w:tcPr>
          <w:p w14:paraId="0000015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март 2026</w:t>
            </w:r>
          </w:p>
        </w:tc>
        <w:tc>
          <w:tcPr>
            <w:tcW w:w="1345" w:type="dxa"/>
          </w:tcPr>
          <w:p w14:paraId="00000158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6078F3" w:rsidRPr="001017B8" w14:paraId="7376ED9A" w14:textId="77777777">
        <w:tc>
          <w:tcPr>
            <w:tcW w:w="2875" w:type="dxa"/>
          </w:tcPr>
          <w:p w14:paraId="00000159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12.3. Споделување на извештајот и информирање на граѓанските организации и јавноста за постигнувањата на Советот</w:t>
            </w:r>
          </w:p>
        </w:tc>
        <w:tc>
          <w:tcPr>
            <w:tcW w:w="3060" w:type="dxa"/>
          </w:tcPr>
          <w:p w14:paraId="0000015A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 xml:space="preserve">Зголемена отчетноста и транспарентност на работата на Советот за соработка меѓу Владата и граѓанското општество </w:t>
            </w:r>
          </w:p>
          <w:p w14:paraId="0000015B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lastRenderedPageBreak/>
              <w:t>Идентификување на теми за дијалог и унапредување за следната година</w:t>
            </w:r>
          </w:p>
        </w:tc>
        <w:tc>
          <w:tcPr>
            <w:tcW w:w="2070" w:type="dxa"/>
          </w:tcPr>
          <w:p w14:paraId="0000015C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lastRenderedPageBreak/>
              <w:t>март – април 2026</w:t>
            </w:r>
          </w:p>
          <w:p w14:paraId="0000015D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Континуирано информирање за работата на Советот</w:t>
            </w:r>
          </w:p>
        </w:tc>
        <w:tc>
          <w:tcPr>
            <w:tcW w:w="1345" w:type="dxa"/>
          </w:tcPr>
          <w:p w14:paraId="0000015E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0168" w14:textId="77777777" w:rsidR="006078F3" w:rsidRPr="001017B8" w:rsidRDefault="006078F3">
      <w:pPr>
        <w:rPr>
          <w:rFonts w:ascii="Arial" w:hAnsi="Arial" w:cs="Arial"/>
          <w:sz w:val="20"/>
          <w:szCs w:val="20"/>
        </w:rPr>
      </w:pPr>
    </w:p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060"/>
        <w:gridCol w:w="2070"/>
        <w:gridCol w:w="1345"/>
      </w:tblGrid>
      <w:tr w:rsidR="006078F3" w:rsidRPr="001017B8" w14:paraId="606AB750" w14:textId="77777777">
        <w:tc>
          <w:tcPr>
            <w:tcW w:w="9350" w:type="dxa"/>
            <w:gridSpan w:val="4"/>
            <w:shd w:val="clear" w:color="auto" w:fill="C1E4F5"/>
          </w:tcPr>
          <w:p w14:paraId="00000169" w14:textId="77777777" w:rsidR="006078F3" w:rsidRPr="001017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Континуирано работење на независен, репрезентативен, оперативен и ефективен Совет за соработка меѓу Владата и граѓанското општество</w:t>
            </w:r>
          </w:p>
        </w:tc>
      </w:tr>
      <w:tr w:rsidR="006078F3" w:rsidRPr="001017B8" w14:paraId="790767A1" w14:textId="77777777">
        <w:tc>
          <w:tcPr>
            <w:tcW w:w="2875" w:type="dxa"/>
            <w:shd w:val="clear" w:color="auto" w:fill="DAE9F7"/>
          </w:tcPr>
          <w:p w14:paraId="0000016D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 xml:space="preserve">Активности </w:t>
            </w:r>
          </w:p>
        </w:tc>
        <w:tc>
          <w:tcPr>
            <w:tcW w:w="3060" w:type="dxa"/>
            <w:shd w:val="clear" w:color="auto" w:fill="DAE9F7"/>
          </w:tcPr>
          <w:p w14:paraId="0000016E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Очекувани резултати</w:t>
            </w:r>
          </w:p>
        </w:tc>
        <w:tc>
          <w:tcPr>
            <w:tcW w:w="2070" w:type="dxa"/>
            <w:shd w:val="clear" w:color="auto" w:fill="DAE9F7"/>
          </w:tcPr>
          <w:p w14:paraId="0000016F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Временска рамка</w:t>
            </w:r>
          </w:p>
        </w:tc>
        <w:tc>
          <w:tcPr>
            <w:tcW w:w="1345" w:type="dxa"/>
            <w:shd w:val="clear" w:color="auto" w:fill="DAE9F7"/>
          </w:tcPr>
          <w:p w14:paraId="00000170" w14:textId="77777777" w:rsidR="006078F3" w:rsidRPr="001017B8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17B8">
              <w:rPr>
                <w:rFonts w:ascii="Arial" w:hAnsi="Arial" w:cs="Arial"/>
                <w:b/>
                <w:sz w:val="20"/>
                <w:szCs w:val="20"/>
              </w:rPr>
              <w:t>Буџет</w:t>
            </w:r>
          </w:p>
        </w:tc>
      </w:tr>
      <w:tr w:rsidR="006078F3" w:rsidRPr="001017B8" w14:paraId="2C1F7716" w14:textId="77777777">
        <w:tc>
          <w:tcPr>
            <w:tcW w:w="2875" w:type="dxa"/>
          </w:tcPr>
          <w:p w14:paraId="00000171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hanging="66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Изготвување и усвојување на Комуникациска стратегија на Советот 2025-2028</w:t>
            </w:r>
          </w:p>
        </w:tc>
        <w:tc>
          <w:tcPr>
            <w:tcW w:w="3060" w:type="dxa"/>
            <w:vMerge w:val="restart"/>
          </w:tcPr>
          <w:p w14:paraId="00000172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Ефективни методи за консултирање и информирање на граѓанските организации и на институциите за работата на Советот</w:t>
            </w:r>
          </w:p>
        </w:tc>
        <w:tc>
          <w:tcPr>
            <w:tcW w:w="2070" w:type="dxa"/>
          </w:tcPr>
          <w:p w14:paraId="00000173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ноември-декември 2025</w:t>
            </w:r>
          </w:p>
        </w:tc>
        <w:tc>
          <w:tcPr>
            <w:tcW w:w="1345" w:type="dxa"/>
          </w:tcPr>
          <w:p w14:paraId="00000174" w14:textId="3A16B47B" w:rsidR="006078F3" w:rsidRPr="00BB52C7" w:rsidRDefault="00BB52C7">
            <w:pPr>
              <w:rPr>
                <w:rFonts w:ascii="Arial" w:hAnsi="Arial" w:cs="Arial"/>
                <w:sz w:val="18"/>
                <w:szCs w:val="18"/>
              </w:rPr>
            </w:pPr>
            <w:r w:rsidRPr="00BB52C7">
              <w:rPr>
                <w:rFonts w:ascii="Arial" w:hAnsi="Arial" w:cs="Arial"/>
                <w:sz w:val="18"/>
                <w:szCs w:val="18"/>
              </w:rPr>
              <w:t xml:space="preserve">Поддршка од ЕУ Проект за техничка поддршка за подобрување на овозможувачката средина за граѓанските организации во РСМ </w:t>
            </w:r>
          </w:p>
        </w:tc>
      </w:tr>
      <w:tr w:rsidR="006078F3" w:rsidRPr="001017B8" w14:paraId="4E285A89" w14:textId="77777777">
        <w:tc>
          <w:tcPr>
            <w:tcW w:w="2875" w:type="dxa"/>
          </w:tcPr>
          <w:p w14:paraId="00000175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hanging="66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Изготвување и усвојување на План за комуникација на Советот</w:t>
            </w:r>
          </w:p>
        </w:tc>
        <w:tc>
          <w:tcPr>
            <w:tcW w:w="3060" w:type="dxa"/>
            <w:vMerge/>
          </w:tcPr>
          <w:p w14:paraId="00000176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7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ноември – декември 2025</w:t>
            </w:r>
          </w:p>
        </w:tc>
        <w:tc>
          <w:tcPr>
            <w:tcW w:w="1345" w:type="dxa"/>
          </w:tcPr>
          <w:p w14:paraId="0000017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3BD6164C" w14:textId="77777777">
        <w:tc>
          <w:tcPr>
            <w:tcW w:w="2875" w:type="dxa"/>
          </w:tcPr>
          <w:p w14:paraId="00000179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hanging="6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6"/>
                <w:id w:val="1257076882"/>
              </w:sdtPr>
              <w:sdtContent/>
            </w:sdt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Организирање на редовни средби со граѓанските организации и прибирање на предлози од ГО </w:t>
            </w:r>
          </w:p>
        </w:tc>
        <w:tc>
          <w:tcPr>
            <w:tcW w:w="3060" w:type="dxa"/>
            <w:vMerge/>
          </w:tcPr>
          <w:p w14:paraId="0000017A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7B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Квартално ниво</w:t>
            </w:r>
          </w:p>
        </w:tc>
        <w:tc>
          <w:tcPr>
            <w:tcW w:w="1345" w:type="dxa"/>
          </w:tcPr>
          <w:p w14:paraId="0000017C" w14:textId="6FA1E309" w:rsidR="006078F3" w:rsidRPr="001017B8" w:rsidRDefault="00BB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 ден.</w:t>
            </w:r>
          </w:p>
        </w:tc>
      </w:tr>
      <w:tr w:rsidR="006078F3" w:rsidRPr="001017B8" w14:paraId="1F2236CE" w14:textId="77777777">
        <w:tc>
          <w:tcPr>
            <w:tcW w:w="2875" w:type="dxa"/>
          </w:tcPr>
          <w:p w14:paraId="0000017D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hanging="66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Изготвување на годишни извештаи од информирањето и вклучувањето на граѓанските организации (обврска на претставниците на граѓанските организации) </w:t>
            </w:r>
          </w:p>
        </w:tc>
        <w:tc>
          <w:tcPr>
            <w:tcW w:w="3060" w:type="dxa"/>
            <w:vMerge/>
          </w:tcPr>
          <w:p w14:paraId="0000017E" w14:textId="77777777" w:rsidR="006078F3" w:rsidRPr="001017B8" w:rsidRDefault="0060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7F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декември 2025</w:t>
            </w:r>
          </w:p>
          <w:p w14:paraId="00000180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декември 2026</w:t>
            </w:r>
          </w:p>
        </w:tc>
        <w:tc>
          <w:tcPr>
            <w:tcW w:w="1345" w:type="dxa"/>
          </w:tcPr>
          <w:p w14:paraId="00000181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7E9D4477" w14:textId="77777777">
        <w:tc>
          <w:tcPr>
            <w:tcW w:w="2875" w:type="dxa"/>
          </w:tcPr>
          <w:p w14:paraId="00000182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hanging="66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>Изготвување на информација за информирањето на институциите (обврска на претставниците на институциите)</w:t>
            </w:r>
          </w:p>
        </w:tc>
        <w:tc>
          <w:tcPr>
            <w:tcW w:w="3060" w:type="dxa"/>
          </w:tcPr>
          <w:p w14:paraId="00000183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000184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185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8F3" w:rsidRPr="001017B8" w14:paraId="72587BF1" w14:textId="77777777">
        <w:tc>
          <w:tcPr>
            <w:tcW w:w="2875" w:type="dxa"/>
          </w:tcPr>
          <w:p w14:paraId="00000186" w14:textId="77777777" w:rsidR="006078F3" w:rsidRPr="001017B8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6" w:hanging="66"/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Организирање на интерни работилници и обуки за јакнење на капацитетите на членовите на Советот </w:t>
            </w:r>
          </w:p>
        </w:tc>
        <w:tc>
          <w:tcPr>
            <w:tcW w:w="3060" w:type="dxa"/>
          </w:tcPr>
          <w:p w14:paraId="00000187" w14:textId="77777777" w:rsidR="006078F3" w:rsidRPr="001017B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017B8">
              <w:rPr>
                <w:rFonts w:ascii="Arial" w:hAnsi="Arial" w:cs="Arial"/>
                <w:sz w:val="20"/>
                <w:szCs w:val="20"/>
              </w:rPr>
              <w:t>Оперативен и ефективен Совет</w:t>
            </w:r>
          </w:p>
        </w:tc>
        <w:tc>
          <w:tcPr>
            <w:tcW w:w="2070" w:type="dxa"/>
          </w:tcPr>
          <w:p w14:paraId="00000188" w14:textId="77777777" w:rsidR="006078F3" w:rsidRPr="001017B8" w:rsidRDefault="00607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000189" w14:textId="31BC34A3" w:rsidR="006078F3" w:rsidRPr="001017B8" w:rsidRDefault="00BB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 ден. (евентуална поддршка од ЕУ проект за техничка поддршка)</w:t>
            </w:r>
          </w:p>
        </w:tc>
      </w:tr>
    </w:tbl>
    <w:p w14:paraId="0000018A" w14:textId="77777777" w:rsidR="006078F3" w:rsidRPr="001017B8" w:rsidRDefault="006078F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7DFA7D6" w14:textId="2EB7A652" w:rsidR="00132BD8" w:rsidRPr="00A04378" w:rsidRDefault="00132BD8" w:rsidP="00A043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04378">
        <w:rPr>
          <w:rFonts w:ascii="Arial" w:hAnsi="Arial" w:cs="Arial"/>
          <w:sz w:val="20"/>
          <w:szCs w:val="20"/>
        </w:rPr>
        <w:lastRenderedPageBreak/>
        <w:t>Оваа Програма влегува во сила со денот на нејзиното донесување.</w:t>
      </w:r>
    </w:p>
    <w:p w14:paraId="3284E0FA" w14:textId="77777777" w:rsidR="00A04378" w:rsidRDefault="00A04378" w:rsidP="00A0437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6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4748"/>
      </w:tblGrid>
      <w:tr w:rsidR="00A04378" w:rsidRPr="00D339DC" w14:paraId="3260A522" w14:textId="77777777" w:rsidTr="008A66DB">
        <w:tc>
          <w:tcPr>
            <w:tcW w:w="4015" w:type="dxa"/>
          </w:tcPr>
          <w:p w14:paraId="4216EC97" w14:textId="77777777" w:rsidR="00A04378" w:rsidRPr="00A04378" w:rsidRDefault="00A04378" w:rsidP="008A66DB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Бр. 33 - </w:t>
            </w:r>
          </w:p>
          <w:p w14:paraId="047F27F0" w14:textId="77777777" w:rsidR="00A04378" w:rsidRPr="00A04378" w:rsidRDefault="00A04378" w:rsidP="008A66DB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2025 година</w:t>
            </w:r>
          </w:p>
        </w:tc>
        <w:tc>
          <w:tcPr>
            <w:tcW w:w="4748" w:type="dxa"/>
          </w:tcPr>
          <w:p w14:paraId="1D2BD5D1" w14:textId="77777777" w:rsidR="00A04378" w:rsidRPr="00A04378" w:rsidRDefault="00A04378" w:rsidP="008A66DB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3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Претседателка на Советот за соработка </w:t>
            </w:r>
          </w:p>
          <w:p w14:paraId="35B66C2C" w14:textId="77777777" w:rsidR="00A04378" w:rsidRPr="00A04378" w:rsidRDefault="00A04378" w:rsidP="008A66DB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378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меѓу Владата и граѓанското општество</w:t>
            </w:r>
          </w:p>
        </w:tc>
      </w:tr>
      <w:tr w:rsidR="00A04378" w:rsidRPr="00D339DC" w14:paraId="04322134" w14:textId="77777777" w:rsidTr="008A66DB">
        <w:tc>
          <w:tcPr>
            <w:tcW w:w="4015" w:type="dxa"/>
          </w:tcPr>
          <w:p w14:paraId="40ABD854" w14:textId="77777777" w:rsidR="00A04378" w:rsidRPr="00A04378" w:rsidRDefault="00A04378" w:rsidP="008A66DB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378">
              <w:rPr>
                <w:rFonts w:ascii="Arial" w:hAnsi="Arial" w:cs="Arial"/>
                <w:color w:val="000000" w:themeColor="text1"/>
                <w:sz w:val="20"/>
                <w:szCs w:val="20"/>
              </w:rPr>
              <w:t>Скопје</w:t>
            </w:r>
          </w:p>
        </w:tc>
        <w:tc>
          <w:tcPr>
            <w:tcW w:w="4748" w:type="dxa"/>
          </w:tcPr>
          <w:p w14:paraId="1B96D33A" w14:textId="77777777" w:rsidR="00A04378" w:rsidRPr="00A04378" w:rsidRDefault="00A04378" w:rsidP="008A66DB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378">
              <w:rPr>
                <w:rFonts w:ascii="Arial" w:hAnsi="Arial" w:cs="Arial"/>
                <w:color w:val="000000" w:themeColor="text1"/>
                <w:sz w:val="20"/>
                <w:szCs w:val="20"/>
              </w:rPr>
              <w:t>Никица Кусиникова</w:t>
            </w:r>
          </w:p>
        </w:tc>
      </w:tr>
    </w:tbl>
    <w:p w14:paraId="23E2F695" w14:textId="77777777" w:rsidR="00A04378" w:rsidRPr="00A04378" w:rsidRDefault="00A04378" w:rsidP="00A04378">
      <w:pPr>
        <w:pStyle w:val="ListParagraph"/>
        <w:ind w:left="360"/>
        <w:rPr>
          <w:rFonts w:ascii="Arial" w:hAnsi="Arial" w:cs="Arial"/>
          <w:sz w:val="20"/>
          <w:szCs w:val="20"/>
          <w:lang w:val="en-US"/>
        </w:rPr>
      </w:pPr>
    </w:p>
    <w:sectPr w:rsidR="00A04378" w:rsidRPr="00A0437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7754" w14:textId="77777777" w:rsidR="00C3669C" w:rsidRDefault="00C3669C">
      <w:pPr>
        <w:spacing w:after="0" w:line="240" w:lineRule="auto"/>
      </w:pPr>
      <w:r>
        <w:separator/>
      </w:r>
    </w:p>
  </w:endnote>
  <w:endnote w:type="continuationSeparator" w:id="0">
    <w:p w14:paraId="2CE1DA41" w14:textId="77777777" w:rsidR="00C3669C" w:rsidRDefault="00C3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2536A33-7BAD-4501-A4FD-B735927C1183}"/>
    <w:embedBold r:id="rId2" w:fontKey="{23E073A5-AE0A-4E6A-B834-888ACE3DF271}"/>
    <w:embedItalic r:id="rId3" w:fontKey="{6C063C2C-61BC-4001-91A4-A060A1A3BFBA}"/>
  </w:font>
  <w:font w:name="Play">
    <w:charset w:val="00"/>
    <w:family w:val="auto"/>
    <w:pitch w:val="default"/>
    <w:embedRegular r:id="rId4" w:fontKey="{78A995C2-1A44-4FAA-A1E3-F01CFB97D06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C0334CDC-4278-49D5-AAF2-A53AD5DD4767}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B" w14:textId="27D77CD8" w:rsidR="006078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2BD8">
      <w:rPr>
        <w:noProof/>
        <w:color w:val="000000"/>
      </w:rPr>
      <w:t>1</w:t>
    </w:r>
    <w:r>
      <w:rPr>
        <w:color w:val="000000"/>
      </w:rPr>
      <w:fldChar w:fldCharType="end"/>
    </w:r>
  </w:p>
  <w:p w14:paraId="0000018C" w14:textId="77777777" w:rsidR="006078F3" w:rsidRDefault="00607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3164" w14:textId="77777777" w:rsidR="00C3669C" w:rsidRDefault="00C3669C">
      <w:pPr>
        <w:spacing w:after="0" w:line="240" w:lineRule="auto"/>
      </w:pPr>
      <w:r>
        <w:separator/>
      </w:r>
    </w:p>
  </w:footnote>
  <w:footnote w:type="continuationSeparator" w:id="0">
    <w:p w14:paraId="111A4368" w14:textId="77777777" w:rsidR="00C3669C" w:rsidRDefault="00C3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3BE"/>
    <w:multiLevelType w:val="multilevel"/>
    <w:tmpl w:val="4DCC1C3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64" w:hanging="720"/>
      </w:pPr>
    </w:lvl>
    <w:lvl w:ilvl="2">
      <w:start w:val="1"/>
      <w:numFmt w:val="decimal"/>
      <w:lvlText w:val="%1.%2.%3."/>
      <w:lvlJc w:val="left"/>
      <w:pPr>
        <w:ind w:left="1608" w:hanging="719"/>
      </w:pPr>
    </w:lvl>
    <w:lvl w:ilvl="3">
      <w:start w:val="1"/>
      <w:numFmt w:val="decimal"/>
      <w:lvlText w:val="%1.%2.%3.%4."/>
      <w:lvlJc w:val="left"/>
      <w:pPr>
        <w:ind w:left="2412" w:hanging="1080"/>
      </w:pPr>
    </w:lvl>
    <w:lvl w:ilvl="4">
      <w:start w:val="1"/>
      <w:numFmt w:val="decimal"/>
      <w:lvlText w:val="%1.%2.%3.%4.%5."/>
      <w:lvlJc w:val="left"/>
      <w:pPr>
        <w:ind w:left="2856" w:hanging="1079"/>
      </w:pPr>
    </w:lvl>
    <w:lvl w:ilvl="5">
      <w:start w:val="1"/>
      <w:numFmt w:val="decimal"/>
      <w:lvlText w:val="%1.%2.%3.%4.%5.%6."/>
      <w:lvlJc w:val="left"/>
      <w:pPr>
        <w:ind w:left="3660" w:hanging="1440"/>
      </w:pPr>
    </w:lvl>
    <w:lvl w:ilvl="6">
      <w:start w:val="1"/>
      <w:numFmt w:val="decimal"/>
      <w:lvlText w:val="%1.%2.%3.%4.%5.%6.%7."/>
      <w:lvlJc w:val="left"/>
      <w:pPr>
        <w:ind w:left="4104" w:hanging="1440"/>
      </w:pPr>
    </w:lvl>
    <w:lvl w:ilvl="7">
      <w:start w:val="1"/>
      <w:numFmt w:val="decimal"/>
      <w:lvlText w:val="%1.%2.%3.%4.%5.%6.%7.%8."/>
      <w:lvlJc w:val="left"/>
      <w:pPr>
        <w:ind w:left="4908" w:hanging="1800"/>
      </w:pPr>
    </w:lvl>
    <w:lvl w:ilvl="8">
      <w:start w:val="1"/>
      <w:numFmt w:val="decimal"/>
      <w:lvlText w:val="%1.%2.%3.%4.%5.%6.%7.%8.%9."/>
      <w:lvlJc w:val="left"/>
      <w:pPr>
        <w:ind w:left="5352" w:hanging="1799"/>
      </w:pPr>
    </w:lvl>
  </w:abstractNum>
  <w:abstractNum w:abstractNumId="1" w15:restartNumberingAfterBreak="0">
    <w:nsid w:val="0AA03FAA"/>
    <w:multiLevelType w:val="multilevel"/>
    <w:tmpl w:val="47D8B8F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88" w:hanging="720"/>
      </w:pPr>
    </w:lvl>
    <w:lvl w:ilvl="2">
      <w:start w:val="1"/>
      <w:numFmt w:val="decimal"/>
      <w:lvlText w:val="%1.%2.%3."/>
      <w:lvlJc w:val="left"/>
      <w:pPr>
        <w:ind w:left="1056" w:hanging="720"/>
      </w:pPr>
    </w:lvl>
    <w:lvl w:ilvl="3">
      <w:start w:val="1"/>
      <w:numFmt w:val="decimal"/>
      <w:lvlText w:val="%1.%2.%3.%4."/>
      <w:lvlJc w:val="left"/>
      <w:pPr>
        <w:ind w:left="1584" w:hanging="1080"/>
      </w:pPr>
    </w:lvl>
    <w:lvl w:ilvl="4">
      <w:start w:val="1"/>
      <w:numFmt w:val="decimal"/>
      <w:lvlText w:val="%1.%2.%3.%4.%5."/>
      <w:lvlJc w:val="left"/>
      <w:pPr>
        <w:ind w:left="1752" w:hanging="1080"/>
      </w:pPr>
    </w:lvl>
    <w:lvl w:ilvl="5">
      <w:start w:val="1"/>
      <w:numFmt w:val="decimal"/>
      <w:lvlText w:val="%1.%2.%3.%4.%5.%6."/>
      <w:lvlJc w:val="left"/>
      <w:pPr>
        <w:ind w:left="2280" w:hanging="1440"/>
      </w:pPr>
    </w:lvl>
    <w:lvl w:ilvl="6">
      <w:start w:val="1"/>
      <w:numFmt w:val="decimal"/>
      <w:lvlText w:val="%1.%2.%3.%4.%5.%6.%7."/>
      <w:lvlJc w:val="left"/>
      <w:pPr>
        <w:ind w:left="2448" w:hanging="1440"/>
      </w:pPr>
    </w:lvl>
    <w:lvl w:ilvl="7">
      <w:start w:val="1"/>
      <w:numFmt w:val="decimal"/>
      <w:lvlText w:val="%1.%2.%3.%4.%5.%6.%7.%8."/>
      <w:lvlJc w:val="left"/>
      <w:pPr>
        <w:ind w:left="2976" w:hanging="1799"/>
      </w:pPr>
    </w:lvl>
    <w:lvl w:ilvl="8">
      <w:start w:val="1"/>
      <w:numFmt w:val="decimal"/>
      <w:lvlText w:val="%1.%2.%3.%4.%5.%6.%7.%8.%9."/>
      <w:lvlJc w:val="left"/>
      <w:pPr>
        <w:ind w:left="3144" w:hanging="1800"/>
      </w:pPr>
    </w:lvl>
  </w:abstractNum>
  <w:abstractNum w:abstractNumId="2" w15:restartNumberingAfterBreak="0">
    <w:nsid w:val="0AC67257"/>
    <w:multiLevelType w:val="hybridMultilevel"/>
    <w:tmpl w:val="3E14D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09B"/>
    <w:multiLevelType w:val="multilevel"/>
    <w:tmpl w:val="0302D8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720"/>
      </w:pPr>
    </w:lvl>
    <w:lvl w:ilvl="2">
      <w:start w:val="1"/>
      <w:numFmt w:val="decimal"/>
      <w:lvlText w:val="%1.%2.%3."/>
      <w:lvlJc w:val="left"/>
      <w:pPr>
        <w:ind w:left="852" w:hanging="720"/>
      </w:pPr>
    </w:lvl>
    <w:lvl w:ilvl="3">
      <w:start w:val="1"/>
      <w:numFmt w:val="decimal"/>
      <w:lvlText w:val="%1.%2.%3.%4."/>
      <w:lvlJc w:val="left"/>
      <w:pPr>
        <w:ind w:left="1278" w:hanging="1080"/>
      </w:pPr>
    </w:lvl>
    <w:lvl w:ilvl="4">
      <w:start w:val="1"/>
      <w:numFmt w:val="decimal"/>
      <w:lvlText w:val="%1.%2.%3.%4.%5."/>
      <w:lvlJc w:val="left"/>
      <w:pPr>
        <w:ind w:left="1344" w:hanging="1080"/>
      </w:pPr>
    </w:lvl>
    <w:lvl w:ilvl="5">
      <w:start w:val="1"/>
      <w:numFmt w:val="decimal"/>
      <w:lvlText w:val="%1.%2.%3.%4.%5.%6."/>
      <w:lvlJc w:val="left"/>
      <w:pPr>
        <w:ind w:left="1770" w:hanging="1440"/>
      </w:pPr>
    </w:lvl>
    <w:lvl w:ilvl="6">
      <w:start w:val="1"/>
      <w:numFmt w:val="decimal"/>
      <w:lvlText w:val="%1.%2.%3.%4.%5.%6.%7."/>
      <w:lvlJc w:val="left"/>
      <w:pPr>
        <w:ind w:left="1836" w:hanging="1440"/>
      </w:pPr>
    </w:lvl>
    <w:lvl w:ilvl="7">
      <w:start w:val="1"/>
      <w:numFmt w:val="decimal"/>
      <w:lvlText w:val="%1.%2.%3.%4.%5.%6.%7.%8."/>
      <w:lvlJc w:val="left"/>
      <w:pPr>
        <w:ind w:left="2262" w:hanging="1800"/>
      </w:pPr>
    </w:lvl>
    <w:lvl w:ilvl="8">
      <w:start w:val="1"/>
      <w:numFmt w:val="decimal"/>
      <w:lvlText w:val="%1.%2.%3.%4.%5.%6.%7.%8.%9."/>
      <w:lvlJc w:val="left"/>
      <w:pPr>
        <w:ind w:left="2328" w:hanging="1800"/>
      </w:pPr>
    </w:lvl>
  </w:abstractNum>
  <w:abstractNum w:abstractNumId="4" w15:restartNumberingAfterBreak="0">
    <w:nsid w:val="26152341"/>
    <w:multiLevelType w:val="multilevel"/>
    <w:tmpl w:val="398046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AB15686"/>
    <w:multiLevelType w:val="multilevel"/>
    <w:tmpl w:val="50425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17813B2"/>
    <w:multiLevelType w:val="multilevel"/>
    <w:tmpl w:val="9578A5B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64" w:hanging="720"/>
      </w:pPr>
    </w:lvl>
    <w:lvl w:ilvl="2">
      <w:start w:val="1"/>
      <w:numFmt w:val="decimal"/>
      <w:lvlText w:val="%1.%2.%3."/>
      <w:lvlJc w:val="left"/>
      <w:pPr>
        <w:ind w:left="1608" w:hanging="719"/>
      </w:pPr>
    </w:lvl>
    <w:lvl w:ilvl="3">
      <w:start w:val="1"/>
      <w:numFmt w:val="decimal"/>
      <w:lvlText w:val="%1.%2.%3.%4."/>
      <w:lvlJc w:val="left"/>
      <w:pPr>
        <w:ind w:left="2412" w:hanging="1080"/>
      </w:pPr>
    </w:lvl>
    <w:lvl w:ilvl="4">
      <w:start w:val="1"/>
      <w:numFmt w:val="decimal"/>
      <w:lvlText w:val="%1.%2.%3.%4.%5."/>
      <w:lvlJc w:val="left"/>
      <w:pPr>
        <w:ind w:left="2856" w:hanging="1079"/>
      </w:pPr>
    </w:lvl>
    <w:lvl w:ilvl="5">
      <w:start w:val="1"/>
      <w:numFmt w:val="decimal"/>
      <w:lvlText w:val="%1.%2.%3.%4.%5.%6."/>
      <w:lvlJc w:val="left"/>
      <w:pPr>
        <w:ind w:left="3660" w:hanging="1440"/>
      </w:pPr>
    </w:lvl>
    <w:lvl w:ilvl="6">
      <w:start w:val="1"/>
      <w:numFmt w:val="decimal"/>
      <w:lvlText w:val="%1.%2.%3.%4.%5.%6.%7."/>
      <w:lvlJc w:val="left"/>
      <w:pPr>
        <w:ind w:left="4104" w:hanging="1440"/>
      </w:pPr>
    </w:lvl>
    <w:lvl w:ilvl="7">
      <w:start w:val="1"/>
      <w:numFmt w:val="decimal"/>
      <w:lvlText w:val="%1.%2.%3.%4.%5.%6.%7.%8."/>
      <w:lvlJc w:val="left"/>
      <w:pPr>
        <w:ind w:left="4908" w:hanging="1800"/>
      </w:pPr>
    </w:lvl>
    <w:lvl w:ilvl="8">
      <w:start w:val="1"/>
      <w:numFmt w:val="decimal"/>
      <w:lvlText w:val="%1.%2.%3.%4.%5.%6.%7.%8.%9."/>
      <w:lvlJc w:val="left"/>
      <w:pPr>
        <w:ind w:left="5352" w:hanging="1799"/>
      </w:pPr>
    </w:lvl>
  </w:abstractNum>
  <w:num w:numId="1" w16cid:durableId="88552293">
    <w:abstractNumId w:val="5"/>
  </w:num>
  <w:num w:numId="2" w16cid:durableId="334262346">
    <w:abstractNumId w:val="1"/>
  </w:num>
  <w:num w:numId="3" w16cid:durableId="1540973432">
    <w:abstractNumId w:val="4"/>
  </w:num>
  <w:num w:numId="4" w16cid:durableId="1707557170">
    <w:abstractNumId w:val="0"/>
  </w:num>
  <w:num w:numId="5" w16cid:durableId="1248688346">
    <w:abstractNumId w:val="6"/>
  </w:num>
  <w:num w:numId="6" w16cid:durableId="1638533601">
    <w:abstractNumId w:val="3"/>
  </w:num>
  <w:num w:numId="7" w16cid:durableId="179517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F3"/>
    <w:rsid w:val="00061FDF"/>
    <w:rsid w:val="001017B8"/>
    <w:rsid w:val="00107DD1"/>
    <w:rsid w:val="00132BD8"/>
    <w:rsid w:val="00410C5C"/>
    <w:rsid w:val="006078F3"/>
    <w:rsid w:val="007554A2"/>
    <w:rsid w:val="007C2DC7"/>
    <w:rsid w:val="008A08BD"/>
    <w:rsid w:val="00A04378"/>
    <w:rsid w:val="00BB52C7"/>
    <w:rsid w:val="00C3669C"/>
    <w:rsid w:val="00D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6B23"/>
  <w15:docId w15:val="{BC00EC1C-C15C-4EEB-8279-2F4CDAE7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7F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33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33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33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33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33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33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33"/>
    <w:rPr>
      <w:rFonts w:eastAsiaTheme="majorEastAsia" w:cstheme="majorBidi"/>
      <w:color w:val="272727" w:themeColor="text1" w:themeTint="D8"/>
      <w:lang w:val="mk-MK"/>
    </w:rPr>
  </w:style>
  <w:style w:type="character" w:customStyle="1" w:styleId="TitleChar">
    <w:name w:val="Title Char"/>
    <w:basedOn w:val="DefaultParagraphFont"/>
    <w:link w:val="Title"/>
    <w:uiPriority w:val="10"/>
    <w:rsid w:val="004C7F33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character" w:customStyle="1" w:styleId="SubtitleChar">
    <w:name w:val="Subtitle Char"/>
    <w:basedOn w:val="DefaultParagraphFont"/>
    <w:link w:val="Subtitle"/>
    <w:uiPriority w:val="11"/>
    <w:rsid w:val="004C7F33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4C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33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4C7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33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4C7F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70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4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93"/>
    <w:rPr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93"/>
    <w:rPr>
      <w:b/>
      <w:bCs/>
      <w:sz w:val="20"/>
      <w:szCs w:val="20"/>
      <w:lang w:val="mk-MK"/>
    </w:rPr>
  </w:style>
  <w:style w:type="paragraph" w:styleId="Header">
    <w:name w:val="header"/>
    <w:basedOn w:val="Normal"/>
    <w:link w:val="HeaderChar"/>
    <w:unhideWhenUsed/>
    <w:rsid w:val="00E7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6AE6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E7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AE6"/>
    <w:rPr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iRhk9tEZD722Fq8oMm/bfgVumw==">CgMxLjAaJwoBMBIiCiAIBCocCgtBQUFCcVpKOEFMURAIGgtBQUFCcVpKOEFMURonCgExEiIKIAgEKhwKC0FBQUJxWko4QUxREAgaC0FBQUJxY2M0N2hBGicKATISIgogCAQqHAoLQUFBQnFaSjhBTFEQCBoLQUFBQnIwSVA4LVEaJwoBMxIiCiAIBCocCgtBQUFCbnB5S3JMSRAIGgtBQUFCbnB5S3JMSRonCgE0EiIKIAgEKhwKC0FBQUJxWko4QUxVEAgaC0FBQUJxWko4QUxVGicKATUSIgogCAQqHAoLQUFBQnFaSjhBTFUQCBoLQUFBQnIwSVA4LW8aJwoBNhIiCiAIBCocCgtBQUFCbnB5S3JMTRAIGgtBQUFCbnB5S3JMTSKKAwoLQUFBQm5weUtyTE0S4AIKC0FBQUJucHlLckxNEgtBQUFCbnB5S3JMTRovCgl0ZXh0L2h0bWwSItCU0LAg0YHQtSDQv9C+0LLRgNC30LUg0YHQviA0LjIuMi4iMAoKdGV4dC9wbGFpbhIi0JTQsCDRgdC1INC/0L7QstGA0LfQtSDRgdC+IDQuMi4yLipKChFOaWtpY2EgS3VzaW5pa292YRo1Ly9zc2wuZ3N0YXRpYy5jb20vZG9jcy9jb21tb24vYmx1ZV9zaWxob3VldHRlOTYtMC5wbmcwivnp94czOIr56feHM3JMChFOaWtpY2EgS3VzaW5pa292YRo3CjUvL3NzbC5nc3RhdGljLmNvbS9kb2NzL2NvbW1vbi9ibHVlX3NpbGhvdWV0dGU5Ni0wLnBuZ3gAiAEBmgEGCAAQABgAqgEkEiLQlNCwINGB0LUg0L/QvtCy0YDQt9C1INGB0L4gNC4yLjIusAEAuAEBGIr56feHMyCK+en3hzMwAEIIa2l4LmNtdDEiwRsKC0FBQUJxWko4QUxVEo8bCgtBQUFCcVpKOEFMVRILQUFBQnFaSjhBTFUa1AUKCXRleHQvaHRtbBLGBdCa0LDQvNC/0LDRmtCw0YLQsCDQtNCw0LvQuCDQtSDQv9C+0LTQtNGA0LbQsNC90LAg0YHQviDRgtC10YXQvdC40YfQutCw0YLQsCDQv9C+0LzQvtGIPyDQktC+INCy0YDRgdC60LAg0YHQviDQvtCy0LAg0LggNC4xLiDQtdC00LjQvdGB0YLQstC10L3QviDQuNC80LDQvCDRgNC10LfQtdGA0LLQsCDQtNCw0LvQuCDQutCw0LrQviDRgdC+0LLQtdGCINCy0L4g0LrQvtGYINGH0LvQtdC90L7QstC40YLQtSDRgNCw0LHQvtGC0LDRgiDQstC+0LvQvtC90YLQtdGA0YHQutC4INGc0LUg0YPRgdC/0LXQtdC80LUg0LTQsCDQvtGA0LPQsNC90LjQt9C40YDQsNC80LUg0Lgg0LTQsCDRg9GH0LXRgdGC0LLRg9Cy0LDQvNC1LCDQv9GA0LXQutGDINC/0YDQtdGC0YHRgtCw0LLQvdC40YbQuCwg0L3QsCDRgdC40YLQtSDQvtCy0LjQtSDQvdCw0YHRgtCw0L3QuCAo0L/RgNC10YLQv9C+0YHRgtCw0LLRg9Cy0LDQvCDQvdCw0ZjQvNCw0LvQutGDIDgrMyA9IDExKSwg0L7RgdC+0LHQtdC90L4g0YjRgtC+INC/0LXRgNC40L7QtNC+0YIg0LUg0LrRgNCw0Zgg0L3QsCDQs9C+0LTQuNC90LAgKNC80L3QvtCz0YMg0L3QsNCx0LjQtdC9KSDQuCDQv9C+0YfQtdGC0L7QuiDQvdCwINCz0L7QtNC40L3QsCAo0L/QvtGA0LXQu9Cw0LrRgdC40YDQsNC9LCDQvdC+INC40YHRgtC+INGC0LDQutCwINGB0LrRgNCw0YLQtdC9INC4INC00L7QstC+0LvQvdC+INC90LDQsdC40LXQvSkuItUFCgp0ZXh0L3BsYWluEsYF0JrQsNC80L/QsNGa0LDRgtCwINC00LDQu9C4INC1INC/0L7QtNC00YDQttCw0L3QsCDRgdC+INGC0LXRhdC90LjRh9C60LDRgtCwINC/0L7QvNC+0Yg/INCS0L4g0LLRgNGB0LrQsCDRgdC+INC+0LLQsCDQuCA0LjEuINC10LTQuNC90YHRgtCy0LXQvdC+INC40LzQsNC8INGA0LXQt9C10YDQstCwINC00LDQu9C4INC60LDQutC+INGB0L7QstC10YIg0LLQviDQutC+0Zgg0YfQu9C10L3QvtCy0LjRgtC1INGA0LDQsdC+0YLQsNGCINCy0L7Qu9C+0L3RgtC10YDRgdC60Lgg0ZzQtSDRg9GB0L/QtdC10LzQtSDQtNCwINC+0YDQs9Cw0L3QuNC30LjRgNCw0LzQtSDQuCDQtNCwINGD0YfQtdGB0YLQstGD0LLQsNC80LUsINC/0YDQtdC60YMg0L/RgNC10YLRgdGC0LDQstC90LjRhtC4LCDQvdCwINGB0LjRgtC1INC+0LLQuNC1INC90LDRgdGC0LDQvdC4ICjQv9GA0LXRgtC/0L7RgdGC0LDQstGD0LLQsNC8INC90LDRmNC80LDQu9C60YMgOCszID0gMTEpLCDQvtGB0L7QsdC10L3QviDRiNGC0L4g0L/QtdGA0LjQvtC00L7RgiDQtSDQutGA0LDRmCDQvdCwINCz0L7QtNC40L3QsCAo0LzQvdC+0LPRgyDQvdCw0LHQuNC10L0pINC4INC/0L7Rh9C10YLQvtC6INC90LAg0LPQvtC00LjQvdCwICjQv9C+0YDQtdC70LDQutGB0LjRgNCw0L0sINC90L4g0LjRgdGC0L4g0YLQsNC60LAg0YHQutGA0LDRgtC10L0g0Lgg0LTQvtCy0L7Qu9C90L4g0L3QsNCx0LjQtdC9KS4qGyIVMTAwOTY1NzI3Nzg3NzE3OTY3MDIyKAA4ADCQyKOpkDM43OCa6JQzQrkHCgtBQUFCcjBJUDgtbxILQUFBQnFaSjhBTFUanQIKCXRleHQvaHRtbBKPAtCe0LLQtNC1INGA0LDQt9C80LjRgdC70YPQstCw0ZrQtdGC0L4g0LHQtdGI0LUg0LTQsCDRgdC1INC/0L7QtNC10LvQuNC80LUg0LrQvtGYINC60L7Qs9CwINC80L7QttC1INC/0L4g0L/Qu9Cw0L3RgdC60Lgg0YDQtdCz0LjQvtC90Lgg0Lgg0L3QsCDRgtC+0Zgg0L3QsNGH0LjQvSDQtNCwINGD0YHQv9C10LXQvNC1INC00LAg0L/QvtC60YDQuNC10LzQtSDQsdC10Lcg0LPQvtC70LXQvNC+INC+0L/RgtC+0LLQsNGA0YPQstCw0ZrQtSDQvdCwINGH0LvQtdC90L7QstC40YLQtS4ingIKCnRleHQvcGxhaW4SjwLQntCy0LTQtSDRgNCw0LfQvNC40YHQu9GD0LLQsNGa0LXRgtC+INCx0LXRiNC1INC00LAg0YHQtSDQv9C+0LTQtdC70LjQvNC1INC60L7RmCDQutC+0LPQsCDQvNC+0LbQtSDQv9C+INC/0LvQsNC90YHQutC4INGA0LXQs9C40L7QvdC4INC4INC90LAg0YLQvtGYINC90LDRh9C40L0g0LTQsCDRg9GB0L/QtdC10LzQtSDQtNCwINC/0L7QutGA0LjQtdC80LUg0LHQtdC3INCz0L7Qu9C10LzQviDQvtC/0YLQvtCy0LDRgNGD0LLQsNGa0LUg0L3QsCDRh9C70LXQvdC+0LLQuNGC0LUuKhsiFTExMTMzOTU0NDA5NTkzMjYyMzUyNygAOAAw3OCa6JQzONzgmuiUM1oMYzZ1ZmcwNTY4cXlncgIgAHgAmgEGCAAQABgAqgGSAhKPAtCe0LLQtNC1INGA0LDQt9C80LjRgdC70YPQstCw0ZrQtdGC0L4g0LHQtdGI0LUg0LTQsCDRgdC1INC/0L7QtNC10LvQuNC80LUg0LrQvtGYINC60L7Qs9CwINC80L7QttC1INC/0L4g0L/Qu9Cw0L3RgdC60Lgg0YDQtdCz0LjQvtC90Lgg0Lgg0L3QsCDRgtC+0Zgg0L3QsNGH0LjQvSDQtNCwINGD0YHQv9C10LXQvNC1INC00LAg0L/QvtC60YDQuNC10LzQtSDQsdC10Lcg0LPQvtC70LXQvNC+INC+0L/RgtC+0LLQsNGA0YPQstCw0ZrQtSDQvdCwINGH0LvQtdC90L7QstC40YLQtS5K7AEKCnRleHQvcGxhaW4S3QHQmtCw0LzQv9Cw0ZrQsCDQt9CwINC40L3RhNC+0YDQvNC40YDQsNGa0LUg0L3QsCDQs9GA0LDRk9Cw0L3RgdC60Lgg0L7RgNCz0LDQvdC40LfQsNGG0LjQuCDQt9CwINGD0LvQvtCz0LDRgtCwINC90LAg0KHQvtCy0LXRgtC+0YIK0JjQvdGE0L7RgNC80LDRgtC40LLQvdC4INGB0YDQtdC00LHQuCDRgdC+INCT0J4g0LLQviDRgdC10LrQvtGYINC/0LvQsNC90YHQutC4INGA0LXQs9C40L7QvVoMOG5wcnF6a2p1MTkzcgIgAHgAmgEGCAAQABgAqgHJBRLGBdCa0LDQvNC/0LDRmtCw0YLQsCDQtNCw0LvQuCDQtSDQv9C+0LTQtNGA0LbQsNC90LAg0YHQviDRgtC10YXQvdC40YfQutCw0YLQsCDQv9C+0LzQvtGIPyDQktC+INCy0YDRgdC60LAg0YHQviDQvtCy0LAg0LggNC4xLiDQtdC00LjQvdGB0YLQstC10L3QviDQuNC80LDQvCDRgNC10LfQtdGA0LLQsCDQtNCw0LvQuCDQutCw0LrQviDRgdC+0LLQtdGCINCy0L4g0LrQvtGYINGH0LvQtdC90L7QstC40YLQtSDRgNCw0LHQvtGC0LDRgiDQstC+0LvQvtC90YLQtdGA0YHQutC4INGc0LUg0YPRgdC/0LXQtdC80LUg0LTQsCDQvtGA0LPQsNC90LjQt9C40YDQsNC80LUg0Lgg0LTQsCDRg9GH0LXRgdGC0LLRg9Cy0LDQvNC1LCDQv9GA0LXQutGDINC/0YDQtdGC0YHRgtCw0LLQvdC40YbQuCwg0L3QsCDRgdC40YLQtSDQvtCy0LjQtSDQvdCw0YHRgtCw0L3QuCAo0L/RgNC10YLQv9C+0YHRgtCw0LLRg9Cy0LDQvCDQvdCw0ZjQvNCw0LvQutGDIDgrMyA9IDExKSwg0L7RgdC+0LHQtdC90L4g0YjRgtC+INC/0LXRgNC40L7QtNC+0YIg0LUg0LrRgNCw0Zgg0L3QsCDQs9C+0LTQuNC90LAgKNC80L3QvtCz0YMg0L3QsNCx0LjQtdC9KSDQuCDQv9C+0YfQtdGC0L7QuiDQvdCwINCz0L7QtNC40L3QsCAo0L/QvtGA0LXQu9Cw0LrRgdC40YDQsNC9LCDQvdC+INC40YHRgtC+INGC0LDQutCwINGB0LrRgNCw0YLQtdC9INC4INC00L7QstC+0LvQvdC+INC90LDQsdC40LXQvSkusAEAuAEAGJDIo6mQMyDc4JrolDMwAEIQa2l4Lno1aDN4YmZyZ3kycSLqDAoLQUFBQm5weUtyTEkSwAwKC0FBQUJucHlLckxJEgtBQUFCbnB5S3JMSRrOAwoJdGV4dC9odG1sEsAD0JHQuCDQvtGA0LXQtNC70L7QttC40LvQsCDQutCw0Zgg0YHQtdC60L7RmCDQt9Cw0LrQvtC9INC00LAg0LTQvtC00LDQtNC10LzQtSDQuCDQv9C+0YHQu9C10LTQvtCy0LDRgtC10LvQvdCwINCw0LrRgtC40LLQvdC+0YHRgiDQstC+INC60L7RmNCwINGI0YLQviDRnNC1INGB0LvQtdC00LjQvNC1INC4INCx0LDRgNCw0LzQtSDQuNC90YTQvtGA0LzQsNGG0LjRmNCwINC00LDQu9C4INGB0LUg0L/RgNC40YTQsNGC0LXQvdC4INC90LDRgdC+0LrQuNGC0LUg0L3QsCDQodC+0LLQtdGC0L7RgiDQuCDQsNC60L4g0L3QtSDRgdC1LCDRgdC+0L7QtNCy0LXRgtC90L4g0L7QsdGA0LDQt9C70L7QttC10L3QuNC1LiDQnNC4INGB0LUg0YfQuNC90Lgg0LTQtdC60LAg0L3QuCDQvdC10LTQvtGB0YLQsNGB0YPQstCwINC/0L7RgdC70LXQtNC+0LLQsNGC0LXQu9C10L0g0LzQtdGF0LDQvdC40LfQsNC8LiLPAwoKdGV4dC9wbGFpbhLAA9CR0Lgg0L7RgNC10LTQu9C+0LbQuNC70LAg0LrQsNGYINGB0LXQutC+0Zgg0LfQsNC60L7QvSDQtNCwINC00L7QtNCw0LTQtdC80LUg0Lgg0L/QvtGB0LvQtdC00L7QstCw0YLQtdC70L3QsCDQsNC60YLQuNCy0L3QvtGB0YIg0LLQviDQutC+0ZjQsCDRiNGC0L4g0ZzQtSDRgdC70LXQtNC40LzQtSDQuCDQsdCw0YDQsNC80LUg0LjQvdGE0L7RgNC80LDRhtC40ZjQsCDQtNCw0LvQuCDRgdC1INC/0YDQuNGE0LDRgtC10L3QuCDQvdCw0YHQvtC60LjRgtC1INC90LAg0KHQvtCy0LXRgtC+0YIg0Lgg0LDQutC+INC90LUg0YHQtSwg0YHQvtC+0LTQstC10YLQvdC+INC+0LHRgNCw0LfQu9C+0LbQtdC90LjQtS4g0JzQuCDRgdC1INGH0LjQvdC4INC00LXQutCwINC90Lgg0L3QtdC00L7RgdGC0LDRgdGD0LLQsCDQv9C+0YHQu9C10LTQvtCy0LDRgtC10LvQtdC9INC80LXRhdCw0L3QuNC30LDQvC4qSgoRTmlraWNhIEt1c2luaWtvdmEaNS8vc3NsLmdzdGF0aWMuY29tL2RvY3MvY29tbW9uL2JsdWVfc2lsaG91ZXR0ZTk2LTAucG5nMIr56feHMziK+en3hzNyTAoRTmlraWNhIEt1c2luaWtvdmEaNwo1Ly9zc2wuZ3N0YXRpYy5jb20vZG9jcy9jb21tb24vYmx1ZV9zaWxob3VldHRlOTYtMC5wbmd4AIgBAZoBBggAEAAYAKoBwwMSwAPQkdC4INC+0YDQtdC00LvQvtC20LjQu9CwINC60LDRmCDRgdC10LrQvtGYINC30LDQutC+0L0g0LTQsCDQtNC+0LTQsNC00LXQvNC1INC4INC/0L7RgdC70LXQtNC+0LLQsNGC0LXQu9C90LAg0LDQutGC0LjQstC90L7RgdGCINCy0L4g0LrQvtGY0LAg0YjRgtC+INGc0LUg0YHQu9C10LTQuNC80LUg0Lgg0LHQsNGA0LDQvNC1INC40L3RhNC+0YDQvNCw0YbQuNGY0LAg0LTQsNC70Lgg0YHQtSDQv9GA0LjRhNCw0YLQtdC90Lgg0L3QsNGB0L7QutC40YLQtSDQvdCwINCh0L7QstC10YLQvtGCINC4INCw0LrQviDQvdC1INGB0LUsINGB0L7QvtC00LLQtdGC0L3QviDQvtCx0YDQsNC30LvQvtC20LXQvdC40LUuINCc0Lgg0YHQtSDRh9C40L3QuCDQtNC10LrQsCDQvdC4INC90LXQtNC+0YHRgtCw0YHRg9Cy0LAg0L/QvtGB0LvQtdC00L7QstCw0YLQtdC70LXQvSDQvNC10YXQsNC90LjQt9Cw0LwusAEAuAEBGIr56feHMyCK+en3hzMwAEIIa2l4LmNtdDAi1iUKC0FBQUJxWko4QUxREqQlCgtBQUFCcVpKOEFMURILQUFBQnFaSjhBTFEa7wQKCXRleHQvaHRtbBLhBNCe0LLQsCDQvNC4INGB0LUg0YfQuNC90Lgg0L3QsCDQvNC10YHRgtC+LCDRgdC+INGC0L7QsCDRiNGC0L4g0LfQsCDQvtCy0L7RmCDRgtC40L8g0LDQutGC0LjQstC90L7RgdGC0Lgg0YHQtSDQv9GA0LDRiNGD0LLQsNC8INC90LAg0LrQvtGYINC90LDRh9C40L0g0ZzQtSDQvtGB0LjQs9GD0YDQuNC80LUg0LTQtdC60LAg0LPQuCDRgdC/0YDQvtCy0LXQtNGD0LLQsNC80LUg0LrQsNC60L4g0KHQvtCy0LXRgi4g0JTQsNC70LgsINC90LAg0L/RgNC40LzQtdGALCDQvdCwINGB0LXQtNC90LjRhtCwINGc0LUg0YHQtSDQtNC+0LPQvtCy0L7RgNC4INC60L7RmCDRh9C70LXQvSDQuNC70Lgg0LTQstCw0ZjRhtCwINGH0LvQtdC90L7QstC4INGc0LUg0L/RgNC10LfQtdC80LDRgiDQvtCx0LLRgNGB0LrQsCDQtNCwINCz0Lgg0L/RgNC10LPQu9C10LTQsNCw0YIg0YDQtdC70LXQstCw0L3RgtC90LjRgtC1INC00L7QutGD0LzQtdC90YLQuCDQuCDQtNCwINC90LDQv9GA0LDQstCw0YIg0L7RgdCy0YDRgiDQt9CwINCy0YDQtdC80LUg0L3QsCDRgdC10LTQvdC40YbQsCwg0L/QsCDQstGA0Lcg0L7RgdC90L7QstCwINC90LAg0YLQvtCwINC00LAg0YHQtSDRgNCw0YHQv9GA0LDQstCwPyLwBAoKdGV4dC9wbGFpbhLhBNCe0LLQsCDQvNC4INGB0LUg0YfQuNC90Lgg0L3QsCDQvNC10YHRgtC+LCDRgdC+INGC0L7QsCDRiNGC0L4g0LfQsCDQvtCy0L7RmCDRgtC40L8g0LDQutGC0LjQstC90L7RgdGC0Lgg0YHQtSDQv9GA0LDRiNGD0LLQsNC8INC90LAg0LrQvtGYINC90LDRh9C40L0g0ZzQtSDQvtGB0LjQs9GD0YDQuNC80LUg0LTQtdC60LAg0LPQuCDRgdC/0YDQvtCy0LXQtNGD0LLQsNC80LUg0LrQsNC60L4g0KHQvtCy0LXRgi4g0JTQsNC70LgsINC90LAg0L/RgNC40LzQtdGALCDQvdCwINGB0LXQtNC90LjRhtCwINGc0LUg0YHQtSDQtNC+0LPQvtCy0L7RgNC4INC60L7RmCDRh9C70LXQvSDQuNC70Lgg0LTQstCw0ZjRhtCwINGH0LvQtdC90L7QstC4INGc0LUg0L/RgNC10LfQtdC80LDRgiDQvtCx0LLRgNGB0LrQsCDQtNCwINCz0Lgg0L/RgNC10LPQu9C10LTQsNCw0YIg0YDQtdC70LXQstCw0L3RgtC90LjRgtC1INC00L7QutGD0LzQtdC90YLQuCDQuCDQtNCwINC90LDQv9GA0LDQstCw0YIg0L7RgdCy0YDRgiDQt9CwINCy0YDQtdC80LUg0L3QsCDRgdC10LTQvdC40YbQsCwg0L/QsCDQstGA0Lcg0L7RgdC90L7QstCwINC90LAg0YLQvtCwINC00LAg0YHQtSDRgNCw0YHQv9GA0LDQstCwPyobIhUxMDA5NjU3Mjc3ODc3MTc5NjcwMjIoADgAMJ6Mo6mQMzjK34volDNCjw8KC0FBQUJxY2M0N2hBEgtBQUFCcVpKOEFMURrfBAoJdGV4dC9odG1sEtEE0J7QstCwINC80L7QttC1INC90LAg0YLQtdC80LDRgtGB0LrQsCDRgdGA0LXQtNCx0LAg0L3QsCDQodC+0LLQtdGC0L7RgiDQvdCwINC60L7RmNCwINGc0LUg0LHQuNC00LDRgiDQv9C+0LrQsNC90LXRgtC4INGC0LjQtSDRiNGC0L4g0LPQviDQv9GA0LDQstCw0YIg0LjQt9Cy0LXRiNGC0LDRmNC+0YIsINC90LAg0L/RgNC40LzQtdGAINCY0LfQstC10YjRgtCw0ZjQvtGCINC+0LQg0YHQu9C10LTQtdGa0LUg0L3QsCDRgdC/0YDQvtCy0LXQtNGD0LLQsNGa0LXRgtC+INC90LAg0J3QsNGB0L7QutC40YLQtSDQt9CwINCV0KMg0L/QvtC00LTRgNGI0LrQsCDQs9C+INC/0YDQsNCy0Lgg0KLQkNCa0KHQniwg0L/QsCDQvNC+0LbQtSDQv9GA0LXRgtGB0YLQsNC90LjQuiDQvtC0INGC0LDQvNGDINC00LAg0YHQtSDQv9C+0LrQsNC90LguINCS0LDQttC90L4g0LUg0YLQuNC1INC00LAg0LPQviDQv9GA0LXQt9C10L3RgtC40YDQsNCw0YIg0Lgg0LTQsCDRgdC1INC+0YLQstC+0YDQuCDQtNC40YHQutGD0YHQuNGY0LAg0L3QsCDQodC+0LLQtdGCINC30LAg0L7QstC+0LfQvNC+0LbRg9Cy0LDRh9C60LDRgtCwINC+0LrQvtC70LjQvdCwINC30LAg0JPQni4i4AQKCnRleHQvcGxhaW4S0QTQntCy0LAg0LzQvtC20LUg0L3QsCDRgtC10LzQsNGC0YHQutCwINGB0YDQtdC00LHQsCDQvdCwINCh0L7QstC10YLQvtGCINC90LAg0LrQvtGY0LAg0ZzQtSDQsdC40LTQsNGCINC/0L7QutCw0L3QtdGC0Lgg0YLQuNC1INGI0YLQviDQs9C+INC/0YDQsNCy0LDRgiDQuNC30LLQtdGI0YLQsNGY0L7Rgiwg0L3QsCDQv9GA0LjQvNC10YAg0JjQt9Cy0LXRiNGC0LDRmNC+0YIg0L7QtCDRgdC70LXQtNC10ZrQtSDQvdCwINGB0L/RgNC+0LLQtdC00YPQstCw0ZrQtdGC0L4g0L3QsCDQndCw0YHQvtC60LjRgtC1INC30LAg0JXQoyDQv9C+0LTQtNGA0YjQutCwINCz0L4g0L/RgNCw0LLQuCDQotCQ0JrQodCeLCDQv9CwINC80L7QttC1INC/0YDQtdGC0YHRgtCw0L3QuNC6INC+0LQg0YLQsNC80YMg0LTQsCDRgdC1INC/0L7QutCw0L3QuC4g0JLQsNC20L3QviDQtSDRgtC40LUg0LTQsCDQs9C+INC/0YDQtdC30LXQvdGC0LjRgNCw0LDRgiDQuCDQtNCwINGB0LUg0L7RgtCy0L7RgNC4INC00LjRgdC60YPRgdC40ZjQsCDQvdCwINCh0L7QstC10YIg0LfQsCDQvtCy0L7Qt9C80L7QttGD0LLQsNGH0LrQsNGC0LAg0L7QutC+0LvQuNC90LAg0LfQsCDQk9CeLiolIh9BTk9OWU1PVVNfMTExMDkwOTYxMzY5NTc4OTU2OTUyKAA4ATDckaaskDM43JGmrJAzWgw2cWFnOGY1dngxcTRyAiAAeACaAQYIABAAGACqAdQEEtEE0J7QstCwINC80L7QttC1INC90LAg0YLQtdC80LDRgtGB0LrQsCDRgdGA0LXQtNCx0LAg0L3QsCDQodC+0LLQtdGC0L7RgiDQvdCwINC60L7RmNCwINGc0LUg0LHQuNC00LDRgiDQv9C+0LrQsNC90LXRgtC4INGC0LjQtSDRiNGC0L4g0LPQviDQv9GA0LDQstCw0YIg0LjQt9Cy0LXRiNGC0LDRmNC+0YIsINC90LAg0L/RgNC40LzQtdGAINCY0LfQstC10YjRgtCw0ZjQvtGCINC+0LQg0YHQu9C10LTQtdGa0LUg0L3QsCDRgdC/0YDQvtCy0LXQtNGD0LLQsNGa0LXRgtC+INC90LAg0J3QsNGB0L7QutC40YLQtSDQt9CwINCV0KMg0L/QvtC00LTRgNGI0LrQsCDQs9C+INC/0YDQsNCy0Lgg0KLQkNCa0KHQniwg0L/QsCDQvNC+0LbQtSDQv9GA0LXRgtGB0YLQsNC90LjQuiDQvtC0INGC0LDQvNGDINC00LAg0YHQtSDQv9C+0LrQsNC90LguINCS0LDQttC90L4g0LUg0YLQuNC1INC00LAg0LPQviDQv9GA0LXQt9C10L3RgtC40YDQsNCw0YIg0Lgg0LTQsCDRgdC1INC+0YLQstC+0YDQuCDQtNC40YHQutGD0YHQuNGY0LAg0L3QsCDQodC+0LLQtdGCINC30LAg0L7QstC+0LfQvNC+0LbRg9Cy0LDRh9C60LDRgtCwINC+0LrQvtC70LjQvdCwINC30LAg0JPQni6wAQC4AQBC9gIKC0FBQUJyMElQOC1REgtBQUFCcVpKOEFMURpdCgl0ZXh0L2h0bWwSUNCc0L7QttC1LiDQjNC1INCz0L4g0LfQsdC+0YDQvdC10LzQtSDQuCDQvdCwINGB0LXQtNC90LjRhtCw0YLQsCDQvdCwINCh0L7QstC10YIuIl4KCnRleHQvcGxhaW4SUNCc0L7QttC1LiDQjNC1INCz0L4g0LfQsdC+0YDQvdC10LzQtSDQuCDQvdCwINGB0LXQtNC90LjRhtCw0YLQsCDQvdCwINCh0L7QstC10YIuKhsiFTExMTMzOTU0NDA5NTkzMjYyMzUyNygAOAAwyt+L6JQzOMrfi+iUM1oMNWFxaDk3bmViaHc0cgIgAHgAmgEGCAAQABgAqgFSElDQnNC+0LbQtS4g0IzQtSDQs9C+INC30LHQvtGA0L3QtdC80LUg0Lgg0L3QsCDRgdC10LTQvdC40YbQsNGC0LAg0L3QsCDQodC+0LLQtdGCLkrhAwoKdGV4dC9wbGFpbhLSA9Ch0LvQtdC00LXRmtC1INC90LAg0LPQvtC00LjRiNC90Lgg0LDQvdCw0LvQuNC30Lgg0L3QsCDQvtCy0L7Qt9C80L7QttGD0LLQsNGH0LrQsNGC0LAg0L7QutC+0LvQuNC90LAg0LfQsCDRgNCw0LfQstC+0Zgg0L3QsCDQs9GA0LDRk9Cw0L3RgdC60L7RgtC+INC+0L/RiNGC0LXRgdGC0LLQviAo0L3QsCDQv9GA0LjQvNC10YA6INCT0L7QtNC40YjQtdC9INC40LfQstC10YjRgtCw0Zgg0L7QtCDRgdC70LXQtNC10ZrQtdGC0L4g0L3QsCDRgdC/0YDQvtCy0LXQtNGD0LLQsNGa0LXRgtC+INC90LAg0J3QsNGB0L7QutC40YLQtSDQt9CwINCV0KMg0L/QvtC00LTRgNGI0LrQsCDQt9CwINGA0LDQt9Cy0L7RmCDQvdCwINCT0J4g0LjQu9C4INCc0LDRgtGA0LjRhtCw0YLQsCDQt9CwINC80L7QvdC40YLQvtGA0LjQvdCzINC90LAg0L7QstC+0LfQvNC+0LbRg9Cy0LDRh9C60LDRgtCwINC+0LrQvtC70LjQvdCwINC30LAg0JPQnilaDGk5d3BubGI1dXlsMXICIAB4AJoBBggAEAAYAKoB5AQS4QTQntCy0LAg0LzQuCDRgdC1INGH0LjQvdC4INC90LAg0LzQtdGB0YLQviwg0YHQviDRgtC+0LAg0YjRgtC+INC30LAg0L7QstC+0Zgg0YLQuNC/INCw0LrRgtC40LLQvdC+0YHRgtC4INGB0LUg0L/RgNCw0YjRg9Cy0LDQvCDQvdCwINC60L7RmCDQvdCw0YfQuNC9INGc0LUg0L7RgdC40LPRg9GA0LjQvNC1INC00LXQutCwINCz0Lgg0YHQv9GA0L7QstC10LTRg9Cy0LDQvNC1INC60LDQutC+INCh0L7QstC10YIuINCU0LDQu9C4LCDQvdCwINC/0YDQuNC80LXRgCwg0L3QsCDRgdC10LTQvdC40YbQsCDRnNC1INGB0LUg0LTQvtCz0L7QstC+0YDQuCDQutC+0Zgg0YfQu9C10L0g0LjQu9C4INC00LLQsNGY0YbQsCDRh9C70LXQvdC+0LLQuCDRnNC1INC/0YDQtdC30LXQvNCw0YIg0L7QsdCy0YDRgdC60LAg0LTQsCDQs9C4INC/0YDQtdCz0LvQtdC00LDQsNGCINGA0LXQu9C10LLQsNC90YLQvdC40YLQtSDQtNC+0LrRg9C80LXQvdGC0Lgg0Lgg0LTQsCDQvdCw0L/RgNCw0LLQsNGCINC+0YHQstGA0YIg0LfQsCDQstGA0LXQvNC1INC90LAg0YHQtdC00L3QuNGG0LAsINC/0LAg0LLRgNC3INC+0YHQvdC+0LLQsCDQvdCwINGC0L7QsCDQtNCwINGB0LUg0YDQsNGB0L/RgNCw0LLQsD+wAQC4AQAYnoyjqZAzIMrfi+iUMzAAQhBraXguNWd5Yjd0OGZwYXoyOABqJAoUc3VnZ2VzdC52dXZ1azVqZHVvZHASDEFuZHJlaiBTZW5paHIhMVJUOVB3RUVGTkVkcDFjaUxQZ3B5bVdiWUNCSUhpX2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2115</Words>
  <Characters>12991</Characters>
  <Application>Microsoft Office Word</Application>
  <DocSecurity>0</DocSecurity>
  <Lines>288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Velickovska</dc:creator>
  <cp:lastModifiedBy>Vesna Vasileva</cp:lastModifiedBy>
  <cp:revision>3</cp:revision>
  <dcterms:created xsi:type="dcterms:W3CDTF">2025-08-06T10:18:00Z</dcterms:created>
  <dcterms:modified xsi:type="dcterms:W3CDTF">2025-09-25T08:37:00Z</dcterms:modified>
</cp:coreProperties>
</file>